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Normal"/>
        <w:tblW w:w="0" w:type="auto"/>
        <w:tblInd w:w="1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6"/>
        <w:gridCol w:w="1982"/>
        <w:gridCol w:w="2265"/>
        <w:gridCol w:w="2985"/>
      </w:tblGrid>
      <w:tr w:rsidR="00A63634">
        <w:trPr>
          <w:trHeight w:val="568"/>
        </w:trPr>
        <w:tc>
          <w:tcPr>
            <w:tcW w:w="9778" w:type="dxa"/>
            <w:gridSpan w:val="4"/>
          </w:tcPr>
          <w:p w:rsidR="00A63634" w:rsidRDefault="00555D69">
            <w:pPr>
              <w:pStyle w:val="TableParagraph"/>
              <w:spacing w:before="140"/>
              <w:ind w:left="1458" w:right="1422"/>
              <w:jc w:val="center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ANONİM ŞİRKETLERDE TOPLANTI VE KARAR NİSAPLARI</w:t>
            </w:r>
          </w:p>
        </w:tc>
      </w:tr>
      <w:tr w:rsidR="00A63634">
        <w:trPr>
          <w:trHeight w:val="702"/>
        </w:trPr>
        <w:tc>
          <w:tcPr>
            <w:tcW w:w="2546" w:type="dxa"/>
            <w:vMerge w:val="restart"/>
          </w:tcPr>
          <w:p w:rsidR="00A63634" w:rsidRDefault="00A63634">
            <w:pPr>
              <w:pStyle w:val="TableParagraph"/>
            </w:pPr>
          </w:p>
        </w:tc>
        <w:tc>
          <w:tcPr>
            <w:tcW w:w="4247" w:type="dxa"/>
            <w:gridSpan w:val="2"/>
          </w:tcPr>
          <w:p w:rsidR="00A63634" w:rsidRDefault="00555D69">
            <w:pPr>
              <w:pStyle w:val="TableParagraph"/>
              <w:spacing w:before="207"/>
              <w:ind w:left="1053"/>
              <w:rPr>
                <w:b/>
                <w:sz w:val="24"/>
              </w:rPr>
            </w:pPr>
            <w:r>
              <w:rPr>
                <w:b/>
                <w:sz w:val="24"/>
              </w:rPr>
              <w:t>TOPLANTI NİSABI</w:t>
            </w:r>
          </w:p>
        </w:tc>
        <w:tc>
          <w:tcPr>
            <w:tcW w:w="2985" w:type="dxa"/>
            <w:vMerge w:val="restart"/>
          </w:tcPr>
          <w:p w:rsidR="00A63634" w:rsidRDefault="00A63634">
            <w:pPr>
              <w:pStyle w:val="TableParagraph"/>
              <w:spacing w:before="4"/>
              <w:rPr>
                <w:sz w:val="36"/>
              </w:rPr>
            </w:pPr>
          </w:p>
          <w:p w:rsidR="00A63634" w:rsidRDefault="00555D69">
            <w:pPr>
              <w:pStyle w:val="TableParagraph"/>
              <w:spacing w:before="1"/>
              <w:ind w:left="613"/>
              <w:rPr>
                <w:b/>
                <w:sz w:val="24"/>
              </w:rPr>
            </w:pPr>
            <w:r>
              <w:rPr>
                <w:b/>
                <w:sz w:val="24"/>
              </w:rPr>
              <w:t>KARAR NİSABI</w:t>
            </w:r>
          </w:p>
        </w:tc>
      </w:tr>
      <w:tr w:rsidR="00A63634">
        <w:trPr>
          <w:trHeight w:val="414"/>
        </w:trPr>
        <w:tc>
          <w:tcPr>
            <w:tcW w:w="2546" w:type="dxa"/>
            <w:vMerge/>
            <w:tcBorders>
              <w:top w:val="nil"/>
            </w:tcBorders>
          </w:tcPr>
          <w:p w:rsidR="00A63634" w:rsidRDefault="00A63634">
            <w:pPr>
              <w:rPr>
                <w:sz w:val="2"/>
                <w:szCs w:val="2"/>
              </w:rPr>
            </w:pPr>
          </w:p>
        </w:tc>
        <w:tc>
          <w:tcPr>
            <w:tcW w:w="1982" w:type="dxa"/>
          </w:tcPr>
          <w:p w:rsidR="00A63634" w:rsidRDefault="00555D69">
            <w:pPr>
              <w:pStyle w:val="TableParagraph"/>
              <w:spacing w:before="63"/>
              <w:ind w:left="468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  <w:r>
              <w:rPr>
                <w:b/>
                <w:spacing w:val="59"/>
                <w:sz w:val="24"/>
              </w:rPr>
              <w:t xml:space="preserve"> </w:t>
            </w:r>
            <w:r>
              <w:rPr>
                <w:b/>
                <w:sz w:val="24"/>
              </w:rPr>
              <w:t>Toplantı</w:t>
            </w:r>
          </w:p>
        </w:tc>
        <w:tc>
          <w:tcPr>
            <w:tcW w:w="2265" w:type="dxa"/>
          </w:tcPr>
          <w:p w:rsidR="00A63634" w:rsidRDefault="00555D69">
            <w:pPr>
              <w:pStyle w:val="TableParagraph"/>
              <w:spacing w:before="63"/>
              <w:ind w:left="471"/>
              <w:rPr>
                <w:b/>
                <w:sz w:val="24"/>
              </w:rPr>
            </w:pPr>
            <w:r>
              <w:rPr>
                <w:b/>
                <w:sz w:val="24"/>
              </w:rPr>
              <w:t>2.</w:t>
            </w:r>
            <w:r>
              <w:rPr>
                <w:b/>
                <w:spacing w:val="59"/>
                <w:sz w:val="24"/>
              </w:rPr>
              <w:t xml:space="preserve"> </w:t>
            </w:r>
            <w:r>
              <w:rPr>
                <w:b/>
                <w:sz w:val="24"/>
              </w:rPr>
              <w:t>Toplantı</w:t>
            </w:r>
          </w:p>
        </w:tc>
        <w:tc>
          <w:tcPr>
            <w:tcW w:w="2985" w:type="dxa"/>
            <w:vMerge/>
            <w:tcBorders>
              <w:top w:val="nil"/>
            </w:tcBorders>
          </w:tcPr>
          <w:p w:rsidR="00A63634" w:rsidRDefault="00A63634">
            <w:pPr>
              <w:rPr>
                <w:sz w:val="2"/>
                <w:szCs w:val="2"/>
              </w:rPr>
            </w:pPr>
          </w:p>
        </w:tc>
      </w:tr>
      <w:tr w:rsidR="00A63634">
        <w:trPr>
          <w:trHeight w:val="1221"/>
        </w:trPr>
        <w:tc>
          <w:tcPr>
            <w:tcW w:w="2546" w:type="dxa"/>
          </w:tcPr>
          <w:p w:rsidR="00A63634" w:rsidRDefault="00A63634">
            <w:pPr>
              <w:pStyle w:val="TableParagraph"/>
              <w:rPr>
                <w:sz w:val="28"/>
              </w:rPr>
            </w:pPr>
          </w:p>
          <w:p w:rsidR="00A63634" w:rsidRDefault="00555D69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Genel Kurul</w:t>
            </w:r>
          </w:p>
          <w:p w:rsidR="00A63634" w:rsidRDefault="00555D69">
            <w:pPr>
              <w:pStyle w:val="TableParagraph"/>
              <w:spacing w:before="4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(TTK m. 418)</w:t>
            </w:r>
          </w:p>
        </w:tc>
        <w:tc>
          <w:tcPr>
            <w:tcW w:w="1982" w:type="dxa"/>
          </w:tcPr>
          <w:p w:rsidR="00A63634" w:rsidRDefault="00A63634">
            <w:pPr>
              <w:pStyle w:val="TableParagraph"/>
              <w:spacing w:before="2"/>
              <w:rPr>
                <w:sz w:val="40"/>
              </w:rPr>
            </w:pPr>
          </w:p>
          <w:p w:rsidR="00A63634" w:rsidRDefault="00555D69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1/4</w:t>
            </w:r>
            <w:hyperlink w:anchor="_bookmark0" w:history="1">
              <w:r>
                <w:rPr>
                  <w:sz w:val="24"/>
                  <w:vertAlign w:val="superscript"/>
                </w:rPr>
                <w:t>a</w:t>
              </w:r>
            </w:hyperlink>
          </w:p>
        </w:tc>
        <w:tc>
          <w:tcPr>
            <w:tcW w:w="2265" w:type="dxa"/>
          </w:tcPr>
          <w:p w:rsidR="00A63634" w:rsidRDefault="00A63634">
            <w:pPr>
              <w:pStyle w:val="TableParagraph"/>
              <w:rPr>
                <w:sz w:val="26"/>
              </w:rPr>
            </w:pPr>
          </w:p>
          <w:p w:rsidR="00A63634" w:rsidRDefault="00555D69">
            <w:pPr>
              <w:pStyle w:val="TableParagraph"/>
              <w:spacing w:before="163"/>
              <w:ind w:left="111"/>
              <w:rPr>
                <w:sz w:val="24"/>
              </w:rPr>
            </w:pPr>
            <w:r>
              <w:rPr>
                <w:sz w:val="24"/>
              </w:rPr>
              <w:t>Nisap aranmaz.</w:t>
            </w:r>
          </w:p>
        </w:tc>
        <w:tc>
          <w:tcPr>
            <w:tcW w:w="2985" w:type="dxa"/>
          </w:tcPr>
          <w:p w:rsidR="00A63634" w:rsidRDefault="00A63634">
            <w:pPr>
              <w:pStyle w:val="TableParagraph"/>
              <w:rPr>
                <w:sz w:val="28"/>
              </w:rPr>
            </w:pPr>
          </w:p>
          <w:p w:rsidR="00A63634" w:rsidRDefault="00555D69">
            <w:pPr>
              <w:pStyle w:val="TableParagraph"/>
              <w:spacing w:before="1"/>
              <w:ind w:left="111" w:right="497"/>
              <w:rPr>
                <w:sz w:val="24"/>
              </w:rPr>
            </w:pPr>
            <w:r>
              <w:rPr>
                <w:sz w:val="24"/>
              </w:rPr>
              <w:t>Toplantıda hazır bulunanların çoğunluğu.</w:t>
            </w:r>
          </w:p>
        </w:tc>
      </w:tr>
      <w:tr w:rsidR="00A63634">
        <w:trPr>
          <w:trHeight w:val="1266"/>
        </w:trPr>
        <w:tc>
          <w:tcPr>
            <w:tcW w:w="2546" w:type="dxa"/>
          </w:tcPr>
          <w:p w:rsidR="00A63634" w:rsidRDefault="00555D69">
            <w:pPr>
              <w:pStyle w:val="TableParagraph"/>
              <w:spacing w:before="71" w:line="242" w:lineRule="auto"/>
              <w:ind w:left="107" w:right="662"/>
              <w:rPr>
                <w:b/>
                <w:sz w:val="24"/>
              </w:rPr>
            </w:pPr>
            <w:r>
              <w:rPr>
                <w:sz w:val="24"/>
              </w:rPr>
              <w:t xml:space="preserve">Esas sözleşme değişiklikleri </w:t>
            </w:r>
            <w:r>
              <w:rPr>
                <w:b/>
                <w:sz w:val="24"/>
              </w:rPr>
              <w:t>(Genel – TTK m. 421/1)</w:t>
            </w:r>
          </w:p>
        </w:tc>
        <w:tc>
          <w:tcPr>
            <w:tcW w:w="1982" w:type="dxa"/>
          </w:tcPr>
          <w:p w:rsidR="00A63634" w:rsidRDefault="00A63634">
            <w:pPr>
              <w:pStyle w:val="TableParagraph"/>
              <w:rPr>
                <w:sz w:val="28"/>
              </w:rPr>
            </w:pPr>
          </w:p>
          <w:p w:rsidR="00A63634" w:rsidRDefault="00555D69">
            <w:pPr>
              <w:pStyle w:val="TableParagraph"/>
              <w:spacing w:before="164"/>
              <w:ind w:left="108"/>
              <w:rPr>
                <w:sz w:val="24"/>
              </w:rPr>
            </w:pPr>
            <w:r>
              <w:rPr>
                <w:sz w:val="24"/>
              </w:rPr>
              <w:t>1/2</w:t>
            </w:r>
            <w:hyperlink w:anchor="_bookmark1" w:history="1">
              <w:r>
                <w:rPr>
                  <w:sz w:val="24"/>
                  <w:vertAlign w:val="superscript"/>
                </w:rPr>
                <w:t>b</w:t>
              </w:r>
            </w:hyperlink>
          </w:p>
        </w:tc>
        <w:tc>
          <w:tcPr>
            <w:tcW w:w="2265" w:type="dxa"/>
          </w:tcPr>
          <w:p w:rsidR="00A63634" w:rsidRDefault="00A63634">
            <w:pPr>
              <w:pStyle w:val="TableParagraph"/>
              <w:rPr>
                <w:sz w:val="26"/>
              </w:rPr>
            </w:pPr>
          </w:p>
          <w:p w:rsidR="00A63634" w:rsidRDefault="00555D69">
            <w:pPr>
              <w:pStyle w:val="TableParagraph"/>
              <w:spacing w:before="187"/>
              <w:ind w:left="111"/>
              <w:rPr>
                <w:sz w:val="24"/>
              </w:rPr>
            </w:pPr>
            <w:r>
              <w:rPr>
                <w:sz w:val="24"/>
              </w:rPr>
              <w:t>1/3</w:t>
            </w:r>
          </w:p>
        </w:tc>
        <w:tc>
          <w:tcPr>
            <w:tcW w:w="2985" w:type="dxa"/>
          </w:tcPr>
          <w:p w:rsidR="00A63634" w:rsidRDefault="00A63634">
            <w:pPr>
              <w:pStyle w:val="TableParagraph"/>
              <w:spacing w:before="1"/>
              <w:rPr>
                <w:sz w:val="30"/>
              </w:rPr>
            </w:pPr>
          </w:p>
          <w:p w:rsidR="00A63634" w:rsidRDefault="00555D69">
            <w:pPr>
              <w:pStyle w:val="TableParagraph"/>
              <w:spacing w:before="1"/>
              <w:ind w:left="111" w:right="497"/>
              <w:rPr>
                <w:sz w:val="24"/>
              </w:rPr>
            </w:pPr>
            <w:r>
              <w:rPr>
                <w:sz w:val="24"/>
              </w:rPr>
              <w:t>Toplantıda hazır bulunanların çoğunluğu.</w:t>
            </w:r>
          </w:p>
        </w:tc>
      </w:tr>
      <w:tr w:rsidR="00A63634">
        <w:trPr>
          <w:trHeight w:val="1259"/>
        </w:trPr>
        <w:tc>
          <w:tcPr>
            <w:tcW w:w="2546" w:type="dxa"/>
          </w:tcPr>
          <w:p w:rsidR="00A63634" w:rsidRDefault="00555D69">
            <w:pPr>
              <w:pStyle w:val="TableParagraph"/>
              <w:spacing w:before="205"/>
              <w:ind w:left="107" w:right="343"/>
              <w:rPr>
                <w:sz w:val="24"/>
              </w:rPr>
            </w:pPr>
            <w:r>
              <w:rPr>
                <w:sz w:val="24"/>
              </w:rPr>
              <w:t>Tasfiye halinde genel kurul</w:t>
            </w:r>
          </w:p>
          <w:p w:rsidR="00A63634" w:rsidRDefault="00555D69">
            <w:pPr>
              <w:pStyle w:val="TableParagraph"/>
              <w:spacing w:before="5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(TTK m. 546/3)</w:t>
            </w:r>
          </w:p>
        </w:tc>
        <w:tc>
          <w:tcPr>
            <w:tcW w:w="1982" w:type="dxa"/>
          </w:tcPr>
          <w:p w:rsidR="00A63634" w:rsidRDefault="00A63634">
            <w:pPr>
              <w:pStyle w:val="TableParagraph"/>
              <w:rPr>
                <w:sz w:val="26"/>
              </w:rPr>
            </w:pPr>
          </w:p>
          <w:p w:rsidR="00A63634" w:rsidRDefault="00555D69">
            <w:pPr>
              <w:pStyle w:val="TableParagraph"/>
              <w:spacing w:before="182"/>
              <w:ind w:left="108"/>
              <w:rPr>
                <w:sz w:val="24"/>
              </w:rPr>
            </w:pPr>
            <w:r>
              <w:rPr>
                <w:sz w:val="24"/>
              </w:rPr>
              <w:t>1/4</w:t>
            </w:r>
          </w:p>
        </w:tc>
        <w:tc>
          <w:tcPr>
            <w:tcW w:w="2265" w:type="dxa"/>
          </w:tcPr>
          <w:p w:rsidR="00A63634" w:rsidRDefault="00A63634">
            <w:pPr>
              <w:pStyle w:val="TableParagraph"/>
              <w:rPr>
                <w:sz w:val="26"/>
              </w:rPr>
            </w:pPr>
          </w:p>
          <w:p w:rsidR="00A63634" w:rsidRDefault="00555D69">
            <w:pPr>
              <w:pStyle w:val="TableParagraph"/>
              <w:spacing w:before="182"/>
              <w:ind w:left="111"/>
              <w:rPr>
                <w:sz w:val="24"/>
              </w:rPr>
            </w:pPr>
            <w:r>
              <w:rPr>
                <w:sz w:val="24"/>
              </w:rPr>
              <w:t>Nisap aranmaz.</w:t>
            </w:r>
          </w:p>
        </w:tc>
        <w:tc>
          <w:tcPr>
            <w:tcW w:w="2985" w:type="dxa"/>
          </w:tcPr>
          <w:p w:rsidR="00A63634" w:rsidRDefault="00A63634">
            <w:pPr>
              <w:pStyle w:val="TableParagraph"/>
              <w:spacing w:before="11"/>
              <w:rPr>
                <w:sz w:val="29"/>
              </w:rPr>
            </w:pPr>
          </w:p>
          <w:p w:rsidR="00A63634" w:rsidRDefault="00555D69">
            <w:pPr>
              <w:pStyle w:val="TableParagraph"/>
              <w:ind w:left="111" w:right="497"/>
              <w:rPr>
                <w:sz w:val="24"/>
              </w:rPr>
            </w:pPr>
            <w:r>
              <w:rPr>
                <w:sz w:val="24"/>
              </w:rPr>
              <w:t>Toplantıda hazır bulunanların çoğunluğu.</w:t>
            </w:r>
          </w:p>
        </w:tc>
      </w:tr>
      <w:tr w:rsidR="00A63634">
        <w:trPr>
          <w:trHeight w:val="813"/>
        </w:trPr>
        <w:tc>
          <w:tcPr>
            <w:tcW w:w="9778" w:type="dxa"/>
            <w:gridSpan w:val="4"/>
          </w:tcPr>
          <w:p w:rsidR="00A63634" w:rsidRDefault="00A63634">
            <w:pPr>
              <w:pStyle w:val="TableParagraph"/>
              <w:spacing w:before="9"/>
            </w:pPr>
          </w:p>
          <w:p w:rsidR="00A63634" w:rsidRDefault="00555D69">
            <w:pPr>
              <w:pStyle w:val="TableParagraph"/>
              <w:spacing w:before="1"/>
              <w:ind w:left="10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  <w:u w:val="thick"/>
              </w:rPr>
              <w:t>Pay senetleri menkul kıymet borsalarında işlem gören şirketlerde;</w:t>
            </w:r>
          </w:p>
        </w:tc>
      </w:tr>
      <w:tr w:rsidR="00A63634">
        <w:trPr>
          <w:trHeight w:val="1931"/>
        </w:trPr>
        <w:tc>
          <w:tcPr>
            <w:tcW w:w="2546" w:type="dxa"/>
          </w:tcPr>
          <w:p w:rsidR="00A63634" w:rsidRDefault="00555D69">
            <w:pPr>
              <w:pStyle w:val="TableParagraph"/>
              <w:ind w:left="107" w:right="216"/>
              <w:rPr>
                <w:sz w:val="24"/>
              </w:rPr>
            </w:pPr>
            <w:r>
              <w:rPr>
                <w:sz w:val="24"/>
              </w:rPr>
              <w:t>Sermayenin artırılması ve kayıtlı sermaye tavanının yükseltilmesine ilişkin esas sözleşme değişiklikleri</w:t>
            </w:r>
          </w:p>
          <w:p w:rsidR="00A63634" w:rsidRDefault="00555D69">
            <w:pPr>
              <w:pStyle w:val="TableParagraph"/>
              <w:spacing w:line="261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(TTK m. 421/5)</w:t>
            </w:r>
          </w:p>
        </w:tc>
        <w:tc>
          <w:tcPr>
            <w:tcW w:w="1982" w:type="dxa"/>
          </w:tcPr>
          <w:p w:rsidR="00A63634" w:rsidRDefault="00A63634">
            <w:pPr>
              <w:pStyle w:val="TableParagraph"/>
              <w:rPr>
                <w:sz w:val="28"/>
              </w:rPr>
            </w:pPr>
          </w:p>
          <w:p w:rsidR="00A63634" w:rsidRDefault="00A63634">
            <w:pPr>
              <w:pStyle w:val="TableParagraph"/>
              <w:rPr>
                <w:sz w:val="28"/>
              </w:rPr>
            </w:pPr>
          </w:p>
          <w:p w:rsidR="00A63634" w:rsidRDefault="00555D69">
            <w:pPr>
              <w:pStyle w:val="TableParagraph"/>
              <w:spacing w:before="173"/>
              <w:ind w:left="778" w:right="768"/>
              <w:jc w:val="center"/>
              <w:rPr>
                <w:sz w:val="24"/>
              </w:rPr>
            </w:pPr>
            <w:r>
              <w:rPr>
                <w:sz w:val="24"/>
              </w:rPr>
              <w:t>1/4</w:t>
            </w:r>
            <w:hyperlink w:anchor="_bookmark2" w:history="1">
              <w:r>
                <w:rPr>
                  <w:sz w:val="24"/>
                  <w:vertAlign w:val="superscript"/>
                </w:rPr>
                <w:t>c</w:t>
              </w:r>
            </w:hyperlink>
          </w:p>
        </w:tc>
        <w:tc>
          <w:tcPr>
            <w:tcW w:w="2265" w:type="dxa"/>
          </w:tcPr>
          <w:p w:rsidR="00A63634" w:rsidRDefault="00A63634">
            <w:pPr>
              <w:pStyle w:val="TableParagraph"/>
              <w:rPr>
                <w:sz w:val="26"/>
              </w:rPr>
            </w:pPr>
          </w:p>
          <w:p w:rsidR="00A63634" w:rsidRDefault="00A63634">
            <w:pPr>
              <w:pStyle w:val="TableParagraph"/>
              <w:rPr>
                <w:sz w:val="26"/>
              </w:rPr>
            </w:pPr>
          </w:p>
          <w:p w:rsidR="00A63634" w:rsidRDefault="00555D69">
            <w:pPr>
              <w:pStyle w:val="TableParagraph"/>
              <w:spacing w:before="219"/>
              <w:ind w:right="370"/>
              <w:jc w:val="right"/>
              <w:rPr>
                <w:sz w:val="24"/>
              </w:rPr>
            </w:pPr>
            <w:r>
              <w:rPr>
                <w:sz w:val="24"/>
              </w:rPr>
              <w:t>Nisap aranmaz.</w:t>
            </w:r>
          </w:p>
        </w:tc>
        <w:tc>
          <w:tcPr>
            <w:tcW w:w="2985" w:type="dxa"/>
          </w:tcPr>
          <w:p w:rsidR="00A63634" w:rsidRDefault="00A63634">
            <w:pPr>
              <w:pStyle w:val="TableParagraph"/>
              <w:rPr>
                <w:sz w:val="26"/>
              </w:rPr>
            </w:pPr>
          </w:p>
          <w:p w:rsidR="00A63634" w:rsidRDefault="00A63634">
            <w:pPr>
              <w:pStyle w:val="TableParagraph"/>
              <w:spacing w:before="2"/>
              <w:rPr>
                <w:sz w:val="33"/>
              </w:rPr>
            </w:pPr>
          </w:p>
          <w:p w:rsidR="00A63634" w:rsidRDefault="00555D69">
            <w:pPr>
              <w:pStyle w:val="TableParagraph"/>
              <w:ind w:left="111" w:right="497"/>
              <w:rPr>
                <w:sz w:val="24"/>
              </w:rPr>
            </w:pPr>
            <w:r>
              <w:rPr>
                <w:sz w:val="24"/>
              </w:rPr>
              <w:t>Toplantıda hazır bulunanların çoğunluğu.</w:t>
            </w:r>
          </w:p>
        </w:tc>
      </w:tr>
      <w:tr w:rsidR="00A63634">
        <w:trPr>
          <w:trHeight w:val="2075"/>
        </w:trPr>
        <w:tc>
          <w:tcPr>
            <w:tcW w:w="2546" w:type="dxa"/>
          </w:tcPr>
          <w:p w:rsidR="00A63634" w:rsidRDefault="00A63634">
            <w:pPr>
              <w:pStyle w:val="TableParagraph"/>
              <w:rPr>
                <w:sz w:val="26"/>
              </w:rPr>
            </w:pPr>
          </w:p>
          <w:p w:rsidR="00A63634" w:rsidRDefault="00555D69">
            <w:pPr>
              <w:pStyle w:val="TableParagraph"/>
              <w:spacing w:before="177"/>
              <w:ind w:left="134"/>
              <w:rPr>
                <w:sz w:val="24"/>
              </w:rPr>
            </w:pPr>
            <w:r>
              <w:rPr>
                <w:sz w:val="24"/>
              </w:rPr>
              <w:t>Birleşmeye, bölünmeye ve tür değiştirmeye ilişkin kararlar</w:t>
            </w:r>
          </w:p>
          <w:p w:rsidR="00A63634" w:rsidRDefault="00555D69">
            <w:pPr>
              <w:pStyle w:val="TableParagraph"/>
              <w:spacing w:before="5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(TTK m. 421/5)</w:t>
            </w:r>
          </w:p>
        </w:tc>
        <w:tc>
          <w:tcPr>
            <w:tcW w:w="1982" w:type="dxa"/>
          </w:tcPr>
          <w:p w:rsidR="00A63634" w:rsidRDefault="00A63634">
            <w:pPr>
              <w:pStyle w:val="TableParagraph"/>
              <w:rPr>
                <w:sz w:val="28"/>
              </w:rPr>
            </w:pPr>
          </w:p>
          <w:p w:rsidR="00A63634" w:rsidRDefault="00A63634">
            <w:pPr>
              <w:pStyle w:val="TableParagraph"/>
              <w:rPr>
                <w:sz w:val="28"/>
              </w:rPr>
            </w:pPr>
          </w:p>
          <w:p w:rsidR="00A63634" w:rsidRDefault="00555D69">
            <w:pPr>
              <w:pStyle w:val="TableParagraph"/>
              <w:spacing w:before="245"/>
              <w:ind w:left="778" w:right="769"/>
              <w:jc w:val="center"/>
              <w:rPr>
                <w:sz w:val="24"/>
              </w:rPr>
            </w:pPr>
            <w:r>
              <w:rPr>
                <w:sz w:val="24"/>
              </w:rPr>
              <w:t>1/4</w:t>
            </w:r>
            <w:hyperlink w:anchor="_bookmark3" w:history="1">
              <w:r>
                <w:rPr>
                  <w:sz w:val="24"/>
                  <w:vertAlign w:val="superscript"/>
                </w:rPr>
                <w:t>d</w:t>
              </w:r>
            </w:hyperlink>
          </w:p>
        </w:tc>
        <w:tc>
          <w:tcPr>
            <w:tcW w:w="2265" w:type="dxa"/>
          </w:tcPr>
          <w:p w:rsidR="00A63634" w:rsidRDefault="00A63634">
            <w:pPr>
              <w:pStyle w:val="TableParagraph"/>
              <w:rPr>
                <w:sz w:val="26"/>
              </w:rPr>
            </w:pPr>
          </w:p>
          <w:p w:rsidR="00A63634" w:rsidRDefault="00A63634">
            <w:pPr>
              <w:pStyle w:val="TableParagraph"/>
              <w:rPr>
                <w:sz w:val="26"/>
              </w:rPr>
            </w:pPr>
          </w:p>
          <w:p w:rsidR="00A63634" w:rsidRDefault="00A63634">
            <w:pPr>
              <w:pStyle w:val="TableParagraph"/>
              <w:spacing w:before="3"/>
              <w:rPr>
                <w:sz w:val="25"/>
              </w:rPr>
            </w:pPr>
          </w:p>
          <w:p w:rsidR="00A63634" w:rsidRDefault="00555D69">
            <w:pPr>
              <w:pStyle w:val="TableParagraph"/>
              <w:spacing w:before="1"/>
              <w:ind w:right="370"/>
              <w:jc w:val="right"/>
              <w:rPr>
                <w:sz w:val="24"/>
              </w:rPr>
            </w:pPr>
            <w:r>
              <w:rPr>
                <w:sz w:val="24"/>
              </w:rPr>
              <w:t>Nisap aranmaz.</w:t>
            </w:r>
          </w:p>
        </w:tc>
        <w:tc>
          <w:tcPr>
            <w:tcW w:w="2985" w:type="dxa"/>
          </w:tcPr>
          <w:p w:rsidR="00A63634" w:rsidRDefault="00A63634">
            <w:pPr>
              <w:pStyle w:val="TableParagraph"/>
              <w:rPr>
                <w:sz w:val="26"/>
              </w:rPr>
            </w:pPr>
          </w:p>
          <w:p w:rsidR="00A63634" w:rsidRDefault="00A63634">
            <w:pPr>
              <w:pStyle w:val="TableParagraph"/>
              <w:rPr>
                <w:sz w:val="26"/>
              </w:rPr>
            </w:pPr>
          </w:p>
          <w:p w:rsidR="00A63634" w:rsidRDefault="00555D69">
            <w:pPr>
              <w:pStyle w:val="TableParagraph"/>
              <w:spacing w:before="154"/>
              <w:ind w:left="111" w:right="497"/>
              <w:rPr>
                <w:sz w:val="24"/>
              </w:rPr>
            </w:pPr>
            <w:r>
              <w:rPr>
                <w:sz w:val="24"/>
              </w:rPr>
              <w:t>Toplantıda hazır bulunanların çoğunluğu.</w:t>
            </w:r>
          </w:p>
        </w:tc>
      </w:tr>
    </w:tbl>
    <w:p w:rsidR="00A63634" w:rsidRDefault="00A63634">
      <w:pPr>
        <w:pStyle w:val="GvdeMetni"/>
      </w:pPr>
    </w:p>
    <w:p w:rsidR="00A63634" w:rsidRDefault="00A63634">
      <w:pPr>
        <w:pStyle w:val="GvdeMetni"/>
      </w:pPr>
    </w:p>
    <w:p w:rsidR="00A63634" w:rsidRDefault="00A63634">
      <w:pPr>
        <w:pStyle w:val="GvdeMetni"/>
      </w:pPr>
    </w:p>
    <w:p w:rsidR="00A63634" w:rsidRDefault="00A63634">
      <w:pPr>
        <w:pStyle w:val="GvdeMetni"/>
      </w:pPr>
    </w:p>
    <w:p w:rsidR="00A63634" w:rsidRDefault="00A63634">
      <w:pPr>
        <w:pStyle w:val="GvdeMetni"/>
      </w:pPr>
    </w:p>
    <w:p w:rsidR="00A63634" w:rsidRDefault="00A63634">
      <w:pPr>
        <w:pStyle w:val="GvdeMetni"/>
      </w:pPr>
    </w:p>
    <w:p w:rsidR="00A63634" w:rsidRDefault="00A63634">
      <w:pPr>
        <w:pStyle w:val="GvdeMetni"/>
      </w:pPr>
    </w:p>
    <w:p w:rsidR="00A63634" w:rsidRDefault="00A63634">
      <w:pPr>
        <w:pStyle w:val="GvdeMetni"/>
      </w:pPr>
    </w:p>
    <w:p w:rsidR="00A63634" w:rsidRDefault="00A63634">
      <w:pPr>
        <w:pStyle w:val="GvdeMetni"/>
      </w:pPr>
    </w:p>
    <w:p w:rsidR="00A63634" w:rsidRDefault="00555D69">
      <w:pPr>
        <w:pStyle w:val="GvdeMetni"/>
        <w:spacing w:before="7"/>
        <w:rPr>
          <w:sz w:val="23"/>
        </w:rPr>
      </w:pPr>
      <w:r>
        <w:rPr>
          <w:noProof/>
          <w:lang w:eastAsia="tr-TR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530860</wp:posOffset>
                </wp:positionH>
                <wp:positionV relativeFrom="paragraph">
                  <wp:posOffset>197485</wp:posOffset>
                </wp:positionV>
                <wp:extent cx="1828800" cy="8890"/>
                <wp:effectExtent l="0" t="0" r="0" b="0"/>
                <wp:wrapTopAndBottom/>
                <wp:docPr id="3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" o:spid="_x0000_s1026" style="position:absolute;margin-left:41.8pt;margin-top:15.55pt;width:2in;height:.7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" fillcolor="black" stroked="f">
                <w10:wrap type="topAndBottom" anchorx="page"/>
              </v:rect>
            </w:pict>
          </mc:Fallback>
        </mc:AlternateContent>
      </w:r>
    </w:p>
    <w:p w:rsidR="00A63634" w:rsidRDefault="00555D69">
      <w:pPr>
        <w:pStyle w:val="GvdeMetni"/>
        <w:spacing w:before="67"/>
        <w:ind w:left="149"/>
      </w:pPr>
      <w:bookmarkStart w:id="0" w:name="_bookmark0"/>
      <w:bookmarkEnd w:id="0"/>
      <w:r>
        <w:rPr>
          <w:vertAlign w:val="superscript"/>
        </w:rPr>
        <w:t>a</w:t>
      </w:r>
      <w:r>
        <w:t xml:space="preserve"> Genel kurul, Kanunda veya esas sözleşmede, aksine daha ağır nisap öngörülmüş bulunan hâller hariç, sermayenin en az</w:t>
      </w:r>
    </w:p>
    <w:p w:rsidR="00A63634" w:rsidRDefault="00555D69">
      <w:pPr>
        <w:pStyle w:val="GvdeMetni"/>
        <w:spacing w:before="1"/>
        <w:ind w:left="149"/>
      </w:pPr>
      <w:r>
        <w:t>dörtte birini karşılayan payların sahiplerinin veya temsilcilerinin varlığıyla toplanır (TTK m. 418/1).</w:t>
      </w:r>
    </w:p>
    <w:p w:rsidR="00A63634" w:rsidRDefault="00555D69">
      <w:pPr>
        <w:pStyle w:val="GvdeMetni"/>
        <w:ind w:left="149"/>
      </w:pPr>
      <w:bookmarkStart w:id="1" w:name="_bookmark1"/>
      <w:bookmarkEnd w:id="1"/>
      <w:r>
        <w:rPr>
          <w:vertAlign w:val="superscript"/>
        </w:rPr>
        <w:t>b</w:t>
      </w:r>
      <w:r>
        <w:t xml:space="preserve"> Kanunda veya esas sözleşmede aksine hüküm bulunmadığı takdirde.</w:t>
      </w:r>
    </w:p>
    <w:p w:rsidR="00A63634" w:rsidRDefault="00555D69">
      <w:pPr>
        <w:pStyle w:val="GvdeMetni"/>
        <w:ind w:left="149"/>
      </w:pPr>
      <w:bookmarkStart w:id="2" w:name="_bookmark2"/>
      <w:bookmarkEnd w:id="2"/>
      <w:r>
        <w:rPr>
          <w:vertAlign w:val="superscript"/>
        </w:rPr>
        <w:t>c</w:t>
      </w:r>
      <w:r>
        <w:t xml:space="preserve"> Esas sözleşmede daha ağır bir nisap öngörülmediği</w:t>
      </w:r>
      <w:r>
        <w:rPr>
          <w:spacing w:val="-28"/>
        </w:rPr>
        <w:t xml:space="preserve"> </w:t>
      </w:r>
      <w:r>
        <w:t>takdirde.</w:t>
      </w:r>
    </w:p>
    <w:p w:rsidR="00A63634" w:rsidRDefault="00555D69">
      <w:pPr>
        <w:pStyle w:val="GvdeMetni"/>
        <w:spacing w:before="1"/>
        <w:ind w:left="149"/>
      </w:pPr>
      <w:bookmarkStart w:id="3" w:name="_bookmark3"/>
      <w:bookmarkEnd w:id="3"/>
      <w:r>
        <w:rPr>
          <w:vertAlign w:val="superscript"/>
        </w:rPr>
        <w:t>d</w:t>
      </w:r>
      <w:r>
        <w:t xml:space="preserve"> Esas sözleşmede daha ağır bir nisap öngörülmediği</w:t>
      </w:r>
      <w:r>
        <w:rPr>
          <w:spacing w:val="-28"/>
        </w:rPr>
        <w:t xml:space="preserve"> </w:t>
      </w:r>
      <w:r>
        <w:t>takdirde.</w:t>
      </w:r>
    </w:p>
    <w:p w:rsidR="00A63634" w:rsidRDefault="00A63634">
      <w:pPr>
        <w:sectPr w:rsidR="00A63634">
          <w:type w:val="continuous"/>
          <w:pgSz w:w="11910" w:h="16840"/>
          <w:pgMar w:top="1400" w:right="1160" w:bottom="0" w:left="700" w:header="708" w:footer="708" w:gutter="0"/>
          <w:cols w:space="708"/>
        </w:sectPr>
      </w:pPr>
    </w:p>
    <w:tbl>
      <w:tblPr>
        <w:tblStyle w:val="TableNormal"/>
        <w:tblW w:w="0" w:type="auto"/>
        <w:tblInd w:w="1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19"/>
        <w:gridCol w:w="3021"/>
        <w:gridCol w:w="3734"/>
      </w:tblGrid>
      <w:tr w:rsidR="00A63634">
        <w:trPr>
          <w:trHeight w:val="983"/>
        </w:trPr>
        <w:tc>
          <w:tcPr>
            <w:tcW w:w="3019" w:type="dxa"/>
          </w:tcPr>
          <w:p w:rsidR="00A63634" w:rsidRDefault="00555D69">
            <w:pPr>
              <w:pStyle w:val="TableParagraph"/>
              <w:spacing w:before="209"/>
              <w:ind w:left="107" w:right="215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Anonim Şirketlerde Diğer Genel Kurul Kararları</w:t>
            </w:r>
          </w:p>
        </w:tc>
        <w:tc>
          <w:tcPr>
            <w:tcW w:w="3021" w:type="dxa"/>
          </w:tcPr>
          <w:p w:rsidR="00A63634" w:rsidRDefault="00A63634">
            <w:pPr>
              <w:pStyle w:val="TableParagraph"/>
              <w:spacing w:before="1"/>
              <w:rPr>
                <w:sz w:val="30"/>
              </w:rPr>
            </w:pPr>
          </w:p>
          <w:p w:rsidR="00A63634" w:rsidRDefault="00555D69">
            <w:pPr>
              <w:pStyle w:val="TableParagraph"/>
              <w:ind w:left="712"/>
              <w:rPr>
                <w:b/>
                <w:sz w:val="24"/>
              </w:rPr>
            </w:pPr>
            <w:r>
              <w:rPr>
                <w:b/>
                <w:sz w:val="24"/>
              </w:rPr>
              <w:t>Top</w:t>
            </w:r>
            <w:r>
              <w:rPr>
                <w:b/>
                <w:sz w:val="24"/>
              </w:rPr>
              <w:t>lantı Nisabı</w:t>
            </w:r>
          </w:p>
        </w:tc>
        <w:tc>
          <w:tcPr>
            <w:tcW w:w="3734" w:type="dxa"/>
          </w:tcPr>
          <w:p w:rsidR="00A63634" w:rsidRDefault="00A63634">
            <w:pPr>
              <w:pStyle w:val="TableParagraph"/>
              <w:spacing w:before="1"/>
              <w:rPr>
                <w:sz w:val="30"/>
              </w:rPr>
            </w:pPr>
          </w:p>
          <w:p w:rsidR="00A63634" w:rsidRDefault="00555D69">
            <w:pPr>
              <w:pStyle w:val="TableParagraph"/>
              <w:ind w:left="1191"/>
              <w:rPr>
                <w:b/>
                <w:sz w:val="24"/>
              </w:rPr>
            </w:pPr>
            <w:r>
              <w:rPr>
                <w:b/>
                <w:sz w:val="24"/>
              </w:rPr>
              <w:t>Karar Nisabı</w:t>
            </w:r>
          </w:p>
        </w:tc>
      </w:tr>
      <w:tr w:rsidR="00A63634">
        <w:trPr>
          <w:trHeight w:val="1549"/>
        </w:trPr>
        <w:tc>
          <w:tcPr>
            <w:tcW w:w="3019" w:type="dxa"/>
          </w:tcPr>
          <w:p w:rsidR="00A63634" w:rsidRDefault="00555D69">
            <w:pPr>
              <w:pStyle w:val="TableParagraph"/>
              <w:spacing w:before="72"/>
              <w:ind w:left="107"/>
              <w:rPr>
                <w:sz w:val="24"/>
              </w:rPr>
            </w:pPr>
            <w:r>
              <w:rPr>
                <w:sz w:val="24"/>
              </w:rPr>
              <w:t>Bilanço zararlarının kapatılması için yükümlülük ve ikincil yükümlülük koyan kararlar</w:t>
            </w:r>
            <w:hyperlink w:anchor="_bookmark4" w:history="1">
              <w:r>
                <w:rPr>
                  <w:sz w:val="24"/>
                  <w:vertAlign w:val="superscript"/>
                </w:rPr>
                <w:t>e</w:t>
              </w:r>
            </w:hyperlink>
          </w:p>
          <w:p w:rsidR="00A63634" w:rsidRDefault="00555D69">
            <w:pPr>
              <w:pStyle w:val="TableParagraph"/>
              <w:spacing w:before="5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(TTK m. 421/2)</w:t>
            </w:r>
          </w:p>
        </w:tc>
        <w:tc>
          <w:tcPr>
            <w:tcW w:w="3021" w:type="dxa"/>
          </w:tcPr>
          <w:p w:rsidR="00A63634" w:rsidRDefault="00A63634">
            <w:pPr>
              <w:pStyle w:val="TableParagraph"/>
              <w:rPr>
                <w:sz w:val="26"/>
              </w:rPr>
            </w:pPr>
          </w:p>
          <w:p w:rsidR="00A63634" w:rsidRDefault="00555D69">
            <w:pPr>
              <w:pStyle w:val="TableParagraph"/>
              <w:spacing w:before="188"/>
              <w:ind w:left="108"/>
              <w:rPr>
                <w:sz w:val="24"/>
              </w:rPr>
            </w:pPr>
            <w:r>
              <w:rPr>
                <w:sz w:val="24"/>
              </w:rPr>
              <w:t>Sermayenin tamamını oluşturan paylar.</w:t>
            </w:r>
          </w:p>
        </w:tc>
        <w:tc>
          <w:tcPr>
            <w:tcW w:w="3734" w:type="dxa"/>
          </w:tcPr>
          <w:p w:rsidR="00A63634" w:rsidRDefault="00A63634">
            <w:pPr>
              <w:pStyle w:val="TableParagraph"/>
              <w:rPr>
                <w:sz w:val="26"/>
              </w:rPr>
            </w:pPr>
          </w:p>
          <w:p w:rsidR="00A63634" w:rsidRDefault="00A63634">
            <w:pPr>
              <w:pStyle w:val="TableParagraph"/>
              <w:spacing w:before="3"/>
              <w:rPr>
                <w:sz w:val="28"/>
              </w:rPr>
            </w:pPr>
          </w:p>
          <w:p w:rsidR="00A63634" w:rsidRDefault="00555D69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Oybirliği.</w:t>
            </w:r>
          </w:p>
        </w:tc>
      </w:tr>
      <w:tr w:rsidR="00A63634">
        <w:trPr>
          <w:trHeight w:val="976"/>
        </w:trPr>
        <w:tc>
          <w:tcPr>
            <w:tcW w:w="3019" w:type="dxa"/>
          </w:tcPr>
          <w:p w:rsidR="00A63634" w:rsidRDefault="00555D69">
            <w:pPr>
              <w:pStyle w:val="TableParagraph"/>
              <w:spacing w:before="63" w:line="242" w:lineRule="auto"/>
              <w:ind w:left="107" w:right="89"/>
              <w:rPr>
                <w:b/>
                <w:sz w:val="24"/>
              </w:rPr>
            </w:pPr>
            <w:r>
              <w:rPr>
                <w:sz w:val="24"/>
              </w:rPr>
              <w:t>Şirket merkezinin yurt dışına taşınmasına ilişkin kararlar</w:t>
            </w:r>
            <w:hyperlink w:anchor="_bookmark5" w:history="1">
              <w:r>
                <w:rPr>
                  <w:sz w:val="24"/>
                  <w:vertAlign w:val="superscript"/>
                </w:rPr>
                <w:t>f</w:t>
              </w:r>
            </w:hyperlink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(TTK m. 421/2)</w:t>
            </w:r>
          </w:p>
        </w:tc>
        <w:tc>
          <w:tcPr>
            <w:tcW w:w="3021" w:type="dxa"/>
          </w:tcPr>
          <w:p w:rsidR="00A63634" w:rsidRDefault="00555D69">
            <w:pPr>
              <w:pStyle w:val="TableParagraph"/>
              <w:spacing w:before="202"/>
              <w:ind w:left="108"/>
              <w:rPr>
                <w:sz w:val="24"/>
              </w:rPr>
            </w:pPr>
            <w:r>
              <w:rPr>
                <w:sz w:val="24"/>
              </w:rPr>
              <w:t>Sermayenin tamamını oluşturan paylar.</w:t>
            </w:r>
          </w:p>
        </w:tc>
        <w:tc>
          <w:tcPr>
            <w:tcW w:w="3734" w:type="dxa"/>
          </w:tcPr>
          <w:p w:rsidR="00A63634" w:rsidRDefault="00A63634">
            <w:pPr>
              <w:pStyle w:val="TableParagraph"/>
              <w:spacing w:before="5"/>
              <w:rPr>
                <w:sz w:val="29"/>
              </w:rPr>
            </w:pPr>
          </w:p>
          <w:p w:rsidR="00A63634" w:rsidRDefault="00555D69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Oybirliği.</w:t>
            </w:r>
          </w:p>
        </w:tc>
      </w:tr>
      <w:tr w:rsidR="00A63634">
        <w:trPr>
          <w:trHeight w:val="1480"/>
        </w:trPr>
        <w:tc>
          <w:tcPr>
            <w:tcW w:w="3019" w:type="dxa"/>
          </w:tcPr>
          <w:p w:rsidR="00A63634" w:rsidRDefault="00A63634">
            <w:pPr>
              <w:pStyle w:val="TableParagraph"/>
              <w:spacing w:before="4"/>
              <w:rPr>
                <w:sz w:val="27"/>
              </w:rPr>
            </w:pPr>
          </w:p>
          <w:p w:rsidR="00A63634" w:rsidRDefault="00555D69">
            <w:pPr>
              <w:pStyle w:val="TableParagraph"/>
              <w:spacing w:line="242" w:lineRule="auto"/>
              <w:ind w:left="107" w:right="255"/>
              <w:rPr>
                <w:b/>
                <w:sz w:val="24"/>
              </w:rPr>
            </w:pPr>
            <w:r>
              <w:rPr>
                <w:sz w:val="24"/>
              </w:rPr>
              <w:t>Şirketin işletme konusunun tamamen değiştirilmesi</w:t>
            </w:r>
            <w:hyperlink w:anchor="_bookmark6" w:history="1">
              <w:r>
                <w:rPr>
                  <w:sz w:val="24"/>
                  <w:vertAlign w:val="superscript"/>
                </w:rPr>
                <w:t>g</w:t>
              </w:r>
            </w:hyperlink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(TTK m. 421/3)</w:t>
            </w:r>
          </w:p>
        </w:tc>
        <w:tc>
          <w:tcPr>
            <w:tcW w:w="3021" w:type="dxa"/>
          </w:tcPr>
          <w:p w:rsidR="00A63634" w:rsidRDefault="00A63634">
            <w:pPr>
              <w:pStyle w:val="TableParagraph"/>
              <w:rPr>
                <w:sz w:val="26"/>
              </w:rPr>
            </w:pPr>
          </w:p>
          <w:p w:rsidR="00A63634" w:rsidRDefault="00555D69">
            <w:pPr>
              <w:pStyle w:val="TableParagraph"/>
              <w:spacing w:before="155"/>
              <w:ind w:left="108"/>
              <w:rPr>
                <w:sz w:val="24"/>
              </w:rPr>
            </w:pPr>
            <w:r>
              <w:rPr>
                <w:sz w:val="24"/>
              </w:rPr>
              <w:t>Sermayenin en %75’ini</w:t>
            </w:r>
          </w:p>
          <w:p w:rsidR="00A63634" w:rsidRDefault="00555D69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oluşturan paylar.</w:t>
            </w:r>
          </w:p>
        </w:tc>
        <w:tc>
          <w:tcPr>
            <w:tcW w:w="3734" w:type="dxa"/>
          </w:tcPr>
          <w:p w:rsidR="00A63634" w:rsidRDefault="00A63634">
            <w:pPr>
              <w:pStyle w:val="TableParagraph"/>
              <w:spacing w:before="4"/>
              <w:rPr>
                <w:sz w:val="27"/>
              </w:rPr>
            </w:pPr>
          </w:p>
          <w:p w:rsidR="00A63634" w:rsidRDefault="00555D69">
            <w:pPr>
              <w:pStyle w:val="TableParagraph"/>
              <w:ind w:left="108" w:right="103"/>
              <w:rPr>
                <w:sz w:val="24"/>
              </w:rPr>
            </w:pPr>
            <w:r>
              <w:rPr>
                <w:sz w:val="24"/>
              </w:rPr>
              <w:t>Sermayenin en az %75’ini oluşturan payların sahiplerinin veya temsilcilerinin olumlu oyları.</w:t>
            </w:r>
          </w:p>
        </w:tc>
      </w:tr>
      <w:tr w:rsidR="00A63634">
        <w:trPr>
          <w:trHeight w:val="1401"/>
        </w:trPr>
        <w:tc>
          <w:tcPr>
            <w:tcW w:w="3019" w:type="dxa"/>
          </w:tcPr>
          <w:p w:rsidR="00A63634" w:rsidRDefault="00A63634">
            <w:pPr>
              <w:pStyle w:val="TableParagraph"/>
              <w:spacing w:before="10"/>
              <w:rPr>
                <w:sz w:val="35"/>
              </w:rPr>
            </w:pPr>
          </w:p>
          <w:p w:rsidR="00A63634" w:rsidRDefault="00555D69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İmtiyazlı pay oluşturulması</w:t>
            </w:r>
            <w:hyperlink w:anchor="_bookmark7" w:history="1">
              <w:r>
                <w:rPr>
                  <w:sz w:val="24"/>
                  <w:vertAlign w:val="superscript"/>
                </w:rPr>
                <w:t>h</w:t>
              </w:r>
            </w:hyperlink>
          </w:p>
          <w:p w:rsidR="00A63634" w:rsidRDefault="00555D69">
            <w:pPr>
              <w:pStyle w:val="TableParagraph"/>
              <w:spacing w:before="4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(TTK m. 421/3)</w:t>
            </w:r>
          </w:p>
        </w:tc>
        <w:tc>
          <w:tcPr>
            <w:tcW w:w="3021" w:type="dxa"/>
          </w:tcPr>
          <w:p w:rsidR="00A63634" w:rsidRDefault="00A63634">
            <w:pPr>
              <w:pStyle w:val="TableParagraph"/>
              <w:spacing w:before="10"/>
              <w:rPr>
                <w:sz w:val="35"/>
              </w:rPr>
            </w:pPr>
          </w:p>
          <w:p w:rsidR="00A63634" w:rsidRDefault="00555D69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Sermayenin en %75’ini</w:t>
            </w:r>
          </w:p>
          <w:p w:rsidR="00A63634" w:rsidRDefault="00555D69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oluşturan paylar.</w:t>
            </w:r>
          </w:p>
        </w:tc>
        <w:tc>
          <w:tcPr>
            <w:tcW w:w="3734" w:type="dxa"/>
          </w:tcPr>
          <w:p w:rsidR="00A63634" w:rsidRDefault="00A63634">
            <w:pPr>
              <w:pStyle w:val="TableParagraph"/>
              <w:spacing w:before="9"/>
              <w:rPr>
                <w:sz w:val="23"/>
              </w:rPr>
            </w:pPr>
          </w:p>
          <w:p w:rsidR="00A63634" w:rsidRDefault="00555D69">
            <w:pPr>
              <w:pStyle w:val="TableParagraph"/>
              <w:ind w:left="108" w:right="103"/>
              <w:rPr>
                <w:sz w:val="24"/>
              </w:rPr>
            </w:pPr>
            <w:r>
              <w:rPr>
                <w:sz w:val="24"/>
              </w:rPr>
              <w:t>Sermayenin en az %75’ini oluşturan payların sahiplerinin veya temsilcilerinin olumlu oyları.</w:t>
            </w:r>
          </w:p>
        </w:tc>
      </w:tr>
      <w:tr w:rsidR="00A63634">
        <w:trPr>
          <w:trHeight w:val="1343"/>
        </w:trPr>
        <w:tc>
          <w:tcPr>
            <w:tcW w:w="3019" w:type="dxa"/>
          </w:tcPr>
          <w:p w:rsidR="00A63634" w:rsidRDefault="00A63634">
            <w:pPr>
              <w:pStyle w:val="TableParagraph"/>
              <w:spacing w:before="6"/>
              <w:rPr>
                <w:sz w:val="21"/>
              </w:rPr>
            </w:pPr>
          </w:p>
          <w:p w:rsidR="00A63634" w:rsidRDefault="00555D69">
            <w:pPr>
              <w:pStyle w:val="TableParagraph"/>
              <w:spacing w:line="242" w:lineRule="auto"/>
              <w:ind w:left="107" w:right="405"/>
              <w:rPr>
                <w:b/>
                <w:sz w:val="24"/>
              </w:rPr>
            </w:pPr>
            <w:r>
              <w:rPr>
                <w:sz w:val="24"/>
              </w:rPr>
              <w:t>Nama yazılı payların devrinin sınırlandırılması</w:t>
            </w:r>
            <w:hyperlink w:anchor="_bookmark8" w:history="1">
              <w:r>
                <w:rPr>
                  <w:sz w:val="24"/>
                  <w:vertAlign w:val="superscript"/>
                </w:rPr>
                <w:t>i</w:t>
              </w:r>
            </w:hyperlink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(TTK m. 421/3)</w:t>
            </w:r>
          </w:p>
        </w:tc>
        <w:tc>
          <w:tcPr>
            <w:tcW w:w="3021" w:type="dxa"/>
          </w:tcPr>
          <w:p w:rsidR="00A63634" w:rsidRDefault="00A63634">
            <w:pPr>
              <w:pStyle w:val="TableParagraph"/>
              <w:spacing w:before="5"/>
              <w:rPr>
                <w:sz w:val="33"/>
              </w:rPr>
            </w:pPr>
          </w:p>
          <w:p w:rsidR="00A63634" w:rsidRDefault="00555D69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Sermayenin en %75’ini</w:t>
            </w:r>
          </w:p>
          <w:p w:rsidR="00A63634" w:rsidRDefault="00555D69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oluşturan paylar.</w:t>
            </w:r>
          </w:p>
        </w:tc>
        <w:tc>
          <w:tcPr>
            <w:tcW w:w="3734" w:type="dxa"/>
          </w:tcPr>
          <w:p w:rsidR="00A63634" w:rsidRDefault="00A63634">
            <w:pPr>
              <w:pStyle w:val="TableParagraph"/>
              <w:spacing w:before="6"/>
              <w:rPr>
                <w:sz w:val="21"/>
              </w:rPr>
            </w:pPr>
          </w:p>
          <w:p w:rsidR="00A63634" w:rsidRDefault="00555D69">
            <w:pPr>
              <w:pStyle w:val="TableParagraph"/>
              <w:ind w:left="108" w:right="103"/>
              <w:rPr>
                <w:sz w:val="24"/>
              </w:rPr>
            </w:pPr>
            <w:r>
              <w:rPr>
                <w:sz w:val="24"/>
              </w:rPr>
              <w:t xml:space="preserve">Sermayenin en az %75’ini </w:t>
            </w:r>
            <w:r>
              <w:rPr>
                <w:sz w:val="24"/>
              </w:rPr>
              <w:t>oluşturan payların sahiplerinin veya temsilcilerinin olumlu oyları.</w:t>
            </w:r>
          </w:p>
        </w:tc>
      </w:tr>
      <w:tr w:rsidR="00A63634">
        <w:trPr>
          <w:trHeight w:val="1787"/>
        </w:trPr>
        <w:tc>
          <w:tcPr>
            <w:tcW w:w="3019" w:type="dxa"/>
          </w:tcPr>
          <w:p w:rsidR="00A63634" w:rsidRDefault="00A63634">
            <w:pPr>
              <w:pStyle w:val="TableParagraph"/>
              <w:rPr>
                <w:sz w:val="26"/>
              </w:rPr>
            </w:pPr>
          </w:p>
          <w:p w:rsidR="00A63634" w:rsidRDefault="00A63634">
            <w:pPr>
              <w:pStyle w:val="TableParagraph"/>
              <w:spacing w:before="9"/>
              <w:rPr>
                <w:sz w:val="26"/>
              </w:rPr>
            </w:pPr>
          </w:p>
          <w:p w:rsidR="00A63634" w:rsidRDefault="00555D69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Sermayenin azaltılması</w:t>
            </w:r>
          </w:p>
          <w:p w:rsidR="00A63634" w:rsidRDefault="00555D69">
            <w:pPr>
              <w:pStyle w:val="TableParagraph"/>
              <w:spacing w:before="5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(TTK m. 473/3)</w:t>
            </w:r>
          </w:p>
        </w:tc>
        <w:tc>
          <w:tcPr>
            <w:tcW w:w="3021" w:type="dxa"/>
          </w:tcPr>
          <w:p w:rsidR="00A63634" w:rsidRDefault="00A63634">
            <w:pPr>
              <w:pStyle w:val="TableParagraph"/>
              <w:rPr>
                <w:sz w:val="26"/>
              </w:rPr>
            </w:pPr>
          </w:p>
          <w:p w:rsidR="00A63634" w:rsidRDefault="00A63634">
            <w:pPr>
              <w:pStyle w:val="TableParagraph"/>
              <w:spacing w:before="9"/>
              <w:rPr>
                <w:sz w:val="26"/>
              </w:rPr>
            </w:pPr>
          </w:p>
          <w:p w:rsidR="00A63634" w:rsidRDefault="00555D69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Sermayenin en %75’ini</w:t>
            </w:r>
          </w:p>
          <w:p w:rsidR="00A63634" w:rsidRDefault="00555D69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oluşturan paylar.</w:t>
            </w:r>
          </w:p>
        </w:tc>
        <w:tc>
          <w:tcPr>
            <w:tcW w:w="3734" w:type="dxa"/>
          </w:tcPr>
          <w:p w:rsidR="00A63634" w:rsidRDefault="00A63634">
            <w:pPr>
              <w:pStyle w:val="TableParagraph"/>
              <w:rPr>
                <w:sz w:val="26"/>
              </w:rPr>
            </w:pPr>
          </w:p>
          <w:p w:rsidR="00A63634" w:rsidRDefault="00555D69">
            <w:pPr>
              <w:pStyle w:val="TableParagraph"/>
              <w:spacing w:before="169"/>
              <w:ind w:left="108" w:right="103"/>
              <w:rPr>
                <w:sz w:val="24"/>
              </w:rPr>
            </w:pPr>
            <w:r>
              <w:rPr>
                <w:sz w:val="24"/>
              </w:rPr>
              <w:t>Sermayenin en az %75’ini oluşturan payların sahiplerinin veya temsilcilerinin olumlu oyları.</w:t>
            </w:r>
          </w:p>
        </w:tc>
      </w:tr>
      <w:tr w:rsidR="00A63634">
        <w:trPr>
          <w:trHeight w:val="1650"/>
        </w:trPr>
        <w:tc>
          <w:tcPr>
            <w:tcW w:w="3019" w:type="dxa"/>
          </w:tcPr>
          <w:p w:rsidR="00A63634" w:rsidRDefault="00A63634">
            <w:pPr>
              <w:pStyle w:val="TableParagraph"/>
              <w:rPr>
                <w:sz w:val="26"/>
              </w:rPr>
            </w:pPr>
          </w:p>
          <w:p w:rsidR="00A63634" w:rsidRDefault="00A63634">
            <w:pPr>
              <w:pStyle w:val="TableParagraph"/>
              <w:spacing w:before="9"/>
              <w:rPr>
                <w:sz w:val="20"/>
              </w:rPr>
            </w:pPr>
          </w:p>
          <w:p w:rsidR="00A63634" w:rsidRDefault="00555D69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Fesih ve tasfiye genel kurulu</w:t>
            </w:r>
          </w:p>
          <w:p w:rsidR="00A63634" w:rsidRDefault="00555D69">
            <w:pPr>
              <w:pStyle w:val="TableParagraph"/>
              <w:spacing w:before="5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(TTK m. 529/1-d)</w:t>
            </w:r>
          </w:p>
        </w:tc>
        <w:tc>
          <w:tcPr>
            <w:tcW w:w="3021" w:type="dxa"/>
          </w:tcPr>
          <w:p w:rsidR="00A63634" w:rsidRDefault="00A63634">
            <w:pPr>
              <w:pStyle w:val="TableParagraph"/>
              <w:rPr>
                <w:sz w:val="26"/>
              </w:rPr>
            </w:pPr>
          </w:p>
          <w:p w:rsidR="00A63634" w:rsidRDefault="00A63634">
            <w:pPr>
              <w:pStyle w:val="TableParagraph"/>
              <w:spacing w:before="9"/>
              <w:rPr>
                <w:sz w:val="20"/>
              </w:rPr>
            </w:pPr>
          </w:p>
          <w:p w:rsidR="00A63634" w:rsidRDefault="00555D69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Sermayenin en %75’ini</w:t>
            </w:r>
          </w:p>
          <w:p w:rsidR="00A63634" w:rsidRDefault="00555D69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oluşturan paylar.</w:t>
            </w:r>
          </w:p>
        </w:tc>
        <w:tc>
          <w:tcPr>
            <w:tcW w:w="3734" w:type="dxa"/>
          </w:tcPr>
          <w:p w:rsidR="00A63634" w:rsidRDefault="00A63634">
            <w:pPr>
              <w:pStyle w:val="TableParagraph"/>
              <w:spacing w:before="10"/>
              <w:rPr>
                <w:sz w:val="34"/>
              </w:rPr>
            </w:pPr>
          </w:p>
          <w:p w:rsidR="00A63634" w:rsidRDefault="00555D69">
            <w:pPr>
              <w:pStyle w:val="TableParagraph"/>
              <w:ind w:left="108" w:right="103"/>
              <w:rPr>
                <w:sz w:val="24"/>
              </w:rPr>
            </w:pPr>
            <w:r>
              <w:rPr>
                <w:sz w:val="24"/>
              </w:rPr>
              <w:t>Sermayenin en az %75’ini oluşturan payların sahiplerinin veya temsilcilerinin olumlu oyları.</w:t>
            </w:r>
          </w:p>
        </w:tc>
      </w:tr>
    </w:tbl>
    <w:p w:rsidR="00A63634" w:rsidRDefault="00A63634">
      <w:pPr>
        <w:pStyle w:val="GvdeMetni"/>
      </w:pPr>
    </w:p>
    <w:p w:rsidR="00A63634" w:rsidRDefault="00A63634">
      <w:pPr>
        <w:pStyle w:val="GvdeMetni"/>
      </w:pPr>
    </w:p>
    <w:p w:rsidR="00A63634" w:rsidRDefault="00A63634">
      <w:pPr>
        <w:pStyle w:val="GvdeMetni"/>
      </w:pPr>
    </w:p>
    <w:p w:rsidR="00A63634" w:rsidRDefault="00A63634">
      <w:pPr>
        <w:pStyle w:val="GvdeMetni"/>
      </w:pPr>
    </w:p>
    <w:p w:rsidR="00A63634" w:rsidRDefault="00A63634">
      <w:pPr>
        <w:pStyle w:val="GvdeMetni"/>
      </w:pPr>
    </w:p>
    <w:p w:rsidR="00A63634" w:rsidRDefault="00A63634">
      <w:pPr>
        <w:pStyle w:val="GvdeMetni"/>
      </w:pPr>
    </w:p>
    <w:p w:rsidR="00A63634" w:rsidRDefault="00A63634">
      <w:pPr>
        <w:pStyle w:val="GvdeMetni"/>
      </w:pPr>
    </w:p>
    <w:p w:rsidR="00A63634" w:rsidRDefault="00555D69">
      <w:pPr>
        <w:pStyle w:val="GvdeMetni"/>
        <w:spacing w:before="8"/>
        <w:rPr>
          <w:sz w:val="13"/>
        </w:rPr>
      </w:pPr>
      <w:r>
        <w:rPr>
          <w:noProof/>
          <w:lang w:eastAsia="tr-TR"/>
        </w:rPr>
        <mc:AlternateContent>
          <mc:Choice Requires="wps">
            <w:drawing>
              <wp:anchor distT="0" distB="0" distL="0" distR="0" simplePos="0" relativeHeight="487588864" behindDoc="1" locked="0" layoutInCell="1" allowOverlap="1">
                <wp:simplePos x="0" y="0"/>
                <wp:positionH relativeFrom="page">
                  <wp:posOffset>519430</wp:posOffset>
                </wp:positionH>
                <wp:positionV relativeFrom="paragraph">
                  <wp:posOffset>125095</wp:posOffset>
                </wp:positionV>
                <wp:extent cx="1828800" cy="8890"/>
                <wp:effectExtent l="0" t="0" r="0" b="0"/>
                <wp:wrapTopAndBottom/>
                <wp:docPr id="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margin-left:40.9pt;margin-top:9.85pt;width:2in;height:.7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" fillcolor="black" stroked="f">
                <w10:wrap type="topAndBottom" anchorx="page"/>
              </v:rect>
            </w:pict>
          </mc:Fallback>
        </mc:AlternateContent>
      </w:r>
    </w:p>
    <w:p w:rsidR="00A63634" w:rsidRDefault="00555D69">
      <w:pPr>
        <w:pStyle w:val="GvdeMetni"/>
        <w:spacing w:before="71"/>
        <w:ind w:left="152" w:right="515"/>
        <w:jc w:val="both"/>
      </w:pPr>
      <w:bookmarkStart w:id="4" w:name="_bookmark4"/>
      <w:bookmarkEnd w:id="4"/>
      <w:r>
        <w:rPr>
          <w:rFonts w:ascii="Carlito" w:hAnsi="Carlito"/>
          <w:vertAlign w:val="superscript"/>
        </w:rPr>
        <w:t>e</w:t>
      </w:r>
      <w:r>
        <w:rPr>
          <w:rFonts w:ascii="Carlito" w:hAnsi="Carlito"/>
        </w:rPr>
        <w:t xml:space="preserve"> </w:t>
      </w:r>
      <w:r>
        <w:t>Öngörülen nisaplara ilk toplantıda ulaşılamadığı takdirde izleyen toplantılarda da aynı nisap aranır (TTK m. 421/4).</w:t>
      </w:r>
      <w:bookmarkStart w:id="5" w:name="_bookmark5"/>
      <w:bookmarkEnd w:id="5"/>
      <w:r>
        <w:t xml:space="preserve"> </w:t>
      </w:r>
      <w:r>
        <w:rPr>
          <w:rFonts w:ascii="Carlito" w:hAnsi="Carlito"/>
          <w:vertAlign w:val="superscript"/>
        </w:rPr>
        <w:t>f</w:t>
      </w:r>
      <w:r>
        <w:rPr>
          <w:rFonts w:ascii="Carlito" w:hAnsi="Carlito"/>
        </w:rPr>
        <w:t xml:space="preserve"> </w:t>
      </w:r>
      <w:r>
        <w:t>Öngörülen nisaplara ilk toplantıda ulaşılamadığı takdirde izleyen toplantılarda da aynı nisap aranır (TTK m. 421/4).</w:t>
      </w:r>
      <w:bookmarkStart w:id="6" w:name="_bookmark6"/>
      <w:bookmarkEnd w:id="6"/>
      <w:r>
        <w:t xml:space="preserve"> </w:t>
      </w:r>
      <w:r>
        <w:rPr>
          <w:rFonts w:ascii="Carlito" w:hAnsi="Carlito"/>
          <w:vertAlign w:val="superscript"/>
        </w:rPr>
        <w:t>g</w:t>
      </w:r>
      <w:r>
        <w:rPr>
          <w:rFonts w:ascii="Carlito" w:hAnsi="Carlito"/>
        </w:rPr>
        <w:t xml:space="preserve"> </w:t>
      </w:r>
      <w:r>
        <w:t>Öngörülen nisaplar</w:t>
      </w:r>
      <w:r>
        <w:t>a ilk toplantıda ulaşılamadığı takdirde izleyen toplantılarda da aynı nisap aranır (TTK m. 421/4).</w:t>
      </w:r>
      <w:bookmarkStart w:id="7" w:name="_bookmark7"/>
      <w:bookmarkEnd w:id="7"/>
      <w:r>
        <w:t xml:space="preserve"> </w:t>
      </w:r>
      <w:r>
        <w:rPr>
          <w:rFonts w:ascii="Carlito" w:hAnsi="Carlito"/>
          <w:vertAlign w:val="superscript"/>
        </w:rPr>
        <w:t>h</w:t>
      </w:r>
      <w:r>
        <w:rPr>
          <w:rFonts w:ascii="Carlito" w:hAnsi="Carlito"/>
        </w:rPr>
        <w:t xml:space="preserve"> </w:t>
      </w:r>
      <w:r>
        <w:t>Öngörülen nisaplara ilk toplantıda ulaşılamadığı takdirde izleyen toplantılarda da aynı nisap aranır (TTK m. 421/4).</w:t>
      </w:r>
      <w:bookmarkStart w:id="8" w:name="_bookmark8"/>
      <w:bookmarkEnd w:id="8"/>
      <w:r>
        <w:t xml:space="preserve"> </w:t>
      </w:r>
      <w:r>
        <w:rPr>
          <w:rFonts w:ascii="Carlito" w:hAnsi="Carlito"/>
          <w:vertAlign w:val="superscript"/>
        </w:rPr>
        <w:t>i</w:t>
      </w:r>
      <w:r>
        <w:rPr>
          <w:rFonts w:ascii="Carlito" w:hAnsi="Carlito"/>
        </w:rPr>
        <w:t xml:space="preserve"> </w:t>
      </w:r>
      <w:r>
        <w:t>Öngörülen nisaplara ilk toplantıda u</w:t>
      </w:r>
      <w:r>
        <w:t>laşılamadığı takdirde izleyen toplantılarda da aynı nisap aranır (TTK m. 421/4).</w:t>
      </w:r>
    </w:p>
    <w:p w:rsidR="00A63634" w:rsidRDefault="00A63634">
      <w:pPr>
        <w:jc w:val="both"/>
        <w:sectPr w:rsidR="00A63634">
          <w:pgSz w:w="11910" w:h="16840"/>
          <w:pgMar w:top="1420" w:right="1160" w:bottom="0" w:left="700" w:header="708" w:footer="708" w:gutter="0"/>
          <w:cols w:space="708"/>
        </w:sectPr>
      </w:pPr>
    </w:p>
    <w:tbl>
      <w:tblPr>
        <w:tblStyle w:val="TableNormal"/>
        <w:tblW w:w="0" w:type="auto"/>
        <w:tblInd w:w="1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19"/>
        <w:gridCol w:w="3021"/>
        <w:gridCol w:w="3734"/>
      </w:tblGrid>
      <w:tr w:rsidR="00A63634">
        <w:trPr>
          <w:trHeight w:val="1650"/>
        </w:trPr>
        <w:tc>
          <w:tcPr>
            <w:tcW w:w="3019" w:type="dxa"/>
          </w:tcPr>
          <w:p w:rsidR="00A63634" w:rsidRDefault="00A63634">
            <w:pPr>
              <w:pStyle w:val="TableParagraph"/>
              <w:rPr>
                <w:sz w:val="26"/>
              </w:rPr>
            </w:pPr>
          </w:p>
          <w:p w:rsidR="00A63634" w:rsidRDefault="00A63634">
            <w:pPr>
              <w:pStyle w:val="TableParagraph"/>
              <w:spacing w:before="9"/>
              <w:rPr>
                <w:sz w:val="20"/>
              </w:rPr>
            </w:pPr>
          </w:p>
          <w:p w:rsidR="00A63634" w:rsidRDefault="00555D69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Tasfiyeden dönülmesi</w:t>
            </w:r>
          </w:p>
          <w:p w:rsidR="00A63634" w:rsidRDefault="00555D69">
            <w:pPr>
              <w:pStyle w:val="TableParagraph"/>
              <w:spacing w:before="5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(TTK m. 548/1)</w:t>
            </w:r>
          </w:p>
        </w:tc>
        <w:tc>
          <w:tcPr>
            <w:tcW w:w="3021" w:type="dxa"/>
          </w:tcPr>
          <w:p w:rsidR="00A63634" w:rsidRDefault="00A63634">
            <w:pPr>
              <w:pStyle w:val="TableParagraph"/>
              <w:rPr>
                <w:sz w:val="26"/>
              </w:rPr>
            </w:pPr>
          </w:p>
          <w:p w:rsidR="00A63634" w:rsidRDefault="00A63634">
            <w:pPr>
              <w:pStyle w:val="TableParagraph"/>
              <w:spacing w:before="9"/>
              <w:rPr>
                <w:sz w:val="20"/>
              </w:rPr>
            </w:pPr>
          </w:p>
          <w:p w:rsidR="00A63634" w:rsidRDefault="00555D69">
            <w:pPr>
              <w:pStyle w:val="TableParagraph"/>
              <w:spacing w:before="1"/>
              <w:ind w:left="108" w:right="343"/>
              <w:rPr>
                <w:sz w:val="24"/>
              </w:rPr>
            </w:pPr>
            <w:r>
              <w:rPr>
                <w:sz w:val="24"/>
              </w:rPr>
              <w:t>Sermayenin en az %60’ını oluşturan paylar.</w:t>
            </w:r>
          </w:p>
        </w:tc>
        <w:tc>
          <w:tcPr>
            <w:tcW w:w="3734" w:type="dxa"/>
          </w:tcPr>
          <w:p w:rsidR="00A63634" w:rsidRDefault="00A63634">
            <w:pPr>
              <w:pStyle w:val="TableParagraph"/>
              <w:spacing w:before="11"/>
              <w:rPr>
                <w:sz w:val="34"/>
              </w:rPr>
            </w:pPr>
          </w:p>
          <w:p w:rsidR="00A63634" w:rsidRDefault="00555D69">
            <w:pPr>
              <w:pStyle w:val="TableParagraph"/>
              <w:ind w:left="108" w:right="103"/>
              <w:rPr>
                <w:sz w:val="24"/>
              </w:rPr>
            </w:pPr>
            <w:r>
              <w:rPr>
                <w:sz w:val="24"/>
              </w:rPr>
              <w:t>Sermayenin en az %60’ını oluşturan payların sahiplerinin veya temsilcilerinin olumlu oyları.</w:t>
            </w:r>
          </w:p>
        </w:tc>
      </w:tr>
      <w:tr w:rsidR="00A63634">
        <w:trPr>
          <w:trHeight w:val="3035"/>
        </w:trPr>
        <w:tc>
          <w:tcPr>
            <w:tcW w:w="3019" w:type="dxa"/>
          </w:tcPr>
          <w:p w:rsidR="00A63634" w:rsidRDefault="00555D69">
            <w:pPr>
              <w:pStyle w:val="TableParagraph"/>
              <w:ind w:left="107" w:right="619"/>
              <w:jc w:val="both"/>
              <w:rPr>
                <w:sz w:val="24"/>
              </w:rPr>
            </w:pPr>
            <w:r>
              <w:rPr>
                <w:sz w:val="24"/>
              </w:rPr>
              <w:t>Önemli miktarda şirket aktiflerinin toptan satışı kararı</w:t>
            </w:r>
          </w:p>
          <w:p w:rsidR="00A63634" w:rsidRDefault="00555D69">
            <w:pPr>
              <w:pStyle w:val="TableParagraph"/>
              <w:spacing w:line="270" w:lineRule="atLeast"/>
              <w:ind w:left="107" w:right="287"/>
              <w:rPr>
                <w:b/>
                <w:sz w:val="24"/>
              </w:rPr>
            </w:pPr>
            <w:r>
              <w:rPr>
                <w:b/>
                <w:sz w:val="24"/>
              </w:rPr>
              <w:t>(TTK m. 538/2 – Anonim Şirketlerin Genel Kurul Toplantılarının Usul ve Esasları İle Bu Toplantılarda Bulunacak Bakanlık Temsilcileri Hakkında Yönetmelik m. 22/12)</w:t>
            </w:r>
          </w:p>
        </w:tc>
        <w:tc>
          <w:tcPr>
            <w:tcW w:w="3021" w:type="dxa"/>
          </w:tcPr>
          <w:p w:rsidR="00A63634" w:rsidRDefault="00A63634">
            <w:pPr>
              <w:pStyle w:val="TableParagraph"/>
              <w:rPr>
                <w:sz w:val="26"/>
              </w:rPr>
            </w:pPr>
          </w:p>
          <w:p w:rsidR="00A63634" w:rsidRDefault="00A63634">
            <w:pPr>
              <w:pStyle w:val="TableParagraph"/>
              <w:rPr>
                <w:sz w:val="26"/>
              </w:rPr>
            </w:pPr>
          </w:p>
          <w:p w:rsidR="00A63634" w:rsidRDefault="00A63634">
            <w:pPr>
              <w:pStyle w:val="TableParagraph"/>
              <w:rPr>
                <w:sz w:val="26"/>
              </w:rPr>
            </w:pPr>
          </w:p>
          <w:p w:rsidR="00A63634" w:rsidRDefault="00A63634">
            <w:pPr>
              <w:pStyle w:val="TableParagraph"/>
              <w:spacing w:before="2"/>
              <w:rPr>
                <w:sz w:val="29"/>
              </w:rPr>
            </w:pPr>
          </w:p>
          <w:p w:rsidR="00A63634" w:rsidRDefault="00555D69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Sermayenin en az %75’ini</w:t>
            </w:r>
          </w:p>
          <w:p w:rsidR="00A63634" w:rsidRDefault="00555D69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oluşturan paylar.</w:t>
            </w:r>
          </w:p>
        </w:tc>
        <w:tc>
          <w:tcPr>
            <w:tcW w:w="3734" w:type="dxa"/>
          </w:tcPr>
          <w:p w:rsidR="00A63634" w:rsidRDefault="00A63634">
            <w:pPr>
              <w:pStyle w:val="TableParagraph"/>
              <w:rPr>
                <w:sz w:val="26"/>
              </w:rPr>
            </w:pPr>
          </w:p>
          <w:p w:rsidR="00A63634" w:rsidRDefault="00A63634">
            <w:pPr>
              <w:pStyle w:val="TableParagraph"/>
              <w:rPr>
                <w:sz w:val="26"/>
              </w:rPr>
            </w:pPr>
          </w:p>
          <w:p w:rsidR="00A63634" w:rsidRDefault="00A63634">
            <w:pPr>
              <w:pStyle w:val="TableParagraph"/>
              <w:rPr>
                <w:sz w:val="26"/>
              </w:rPr>
            </w:pPr>
          </w:p>
          <w:p w:rsidR="00A63634" w:rsidRDefault="00555D69">
            <w:pPr>
              <w:pStyle w:val="TableParagraph"/>
              <w:spacing w:before="196"/>
              <w:ind w:left="108" w:right="103"/>
              <w:rPr>
                <w:sz w:val="24"/>
              </w:rPr>
            </w:pPr>
            <w:r>
              <w:rPr>
                <w:sz w:val="24"/>
              </w:rPr>
              <w:t>Sermayenin en az %75’ini oluşturan payların sahiplerinin veya temsilcilerinin olumlu oyları.</w:t>
            </w:r>
          </w:p>
        </w:tc>
      </w:tr>
      <w:tr w:rsidR="00A63634">
        <w:trPr>
          <w:trHeight w:val="4691"/>
        </w:trPr>
        <w:tc>
          <w:tcPr>
            <w:tcW w:w="3019" w:type="dxa"/>
          </w:tcPr>
          <w:p w:rsidR="00A63634" w:rsidRDefault="00555D69">
            <w:pPr>
              <w:pStyle w:val="TableParagraph"/>
              <w:ind w:left="107" w:right="123"/>
              <w:rPr>
                <w:sz w:val="24"/>
              </w:rPr>
            </w:pPr>
            <w:r>
              <w:rPr>
                <w:sz w:val="24"/>
              </w:rPr>
              <w:t>Özel Kanun hükümleri saklı kalmak kaydıyla ve esas sözleşmede aksi düzenlenmemişse, her çeşidi ile tahviller, finansman bonoları, varlığa dayalı senetler, iskonto</w:t>
            </w:r>
            <w:r>
              <w:rPr>
                <w:sz w:val="24"/>
              </w:rPr>
              <w:t xml:space="preserve"> esası üzerine düzenlenenler de dâhil diğer borçlanma senetleri, alma ve değiştirme hakkını haiz senetler ile her çeşit menkul kıymetlerin ihracı veya bu hususta yönetim kuruluna yetki verilmesine ilişkin genel kurul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kararları</w:t>
            </w:r>
          </w:p>
          <w:p w:rsidR="00A63634" w:rsidRDefault="00555D69">
            <w:pPr>
              <w:pStyle w:val="TableParagraph"/>
              <w:spacing w:line="261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(TTK m.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504)</w:t>
            </w:r>
          </w:p>
        </w:tc>
        <w:tc>
          <w:tcPr>
            <w:tcW w:w="3021" w:type="dxa"/>
          </w:tcPr>
          <w:p w:rsidR="00A63634" w:rsidRDefault="00A63634">
            <w:pPr>
              <w:pStyle w:val="TableParagraph"/>
              <w:rPr>
                <w:sz w:val="26"/>
              </w:rPr>
            </w:pPr>
          </w:p>
          <w:p w:rsidR="00A63634" w:rsidRDefault="00A63634">
            <w:pPr>
              <w:pStyle w:val="TableParagraph"/>
              <w:rPr>
                <w:sz w:val="26"/>
              </w:rPr>
            </w:pPr>
          </w:p>
          <w:p w:rsidR="00A63634" w:rsidRDefault="00A63634">
            <w:pPr>
              <w:pStyle w:val="TableParagraph"/>
              <w:rPr>
                <w:sz w:val="26"/>
              </w:rPr>
            </w:pPr>
          </w:p>
          <w:p w:rsidR="00A63634" w:rsidRDefault="00A63634">
            <w:pPr>
              <w:pStyle w:val="TableParagraph"/>
              <w:rPr>
                <w:sz w:val="26"/>
              </w:rPr>
            </w:pPr>
          </w:p>
          <w:p w:rsidR="00A63634" w:rsidRDefault="00A63634">
            <w:pPr>
              <w:pStyle w:val="TableParagraph"/>
              <w:rPr>
                <w:sz w:val="26"/>
              </w:rPr>
            </w:pPr>
          </w:p>
          <w:p w:rsidR="00A63634" w:rsidRDefault="00A63634">
            <w:pPr>
              <w:pStyle w:val="TableParagraph"/>
              <w:rPr>
                <w:sz w:val="26"/>
              </w:rPr>
            </w:pPr>
          </w:p>
          <w:p w:rsidR="00A63634" w:rsidRDefault="00A63634">
            <w:pPr>
              <w:pStyle w:val="TableParagraph"/>
              <w:spacing w:before="2"/>
              <w:rPr>
                <w:sz w:val="23"/>
              </w:rPr>
            </w:pPr>
          </w:p>
          <w:p w:rsidR="00A63634" w:rsidRDefault="00555D69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Sermayenin en az %75’ini</w:t>
            </w:r>
          </w:p>
          <w:p w:rsidR="00A63634" w:rsidRDefault="00555D69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oluşturan paylar.</w:t>
            </w:r>
          </w:p>
        </w:tc>
        <w:tc>
          <w:tcPr>
            <w:tcW w:w="3734" w:type="dxa"/>
          </w:tcPr>
          <w:p w:rsidR="00A63634" w:rsidRDefault="00A63634">
            <w:pPr>
              <w:pStyle w:val="TableParagraph"/>
              <w:rPr>
                <w:sz w:val="26"/>
              </w:rPr>
            </w:pPr>
          </w:p>
          <w:p w:rsidR="00A63634" w:rsidRDefault="00A63634">
            <w:pPr>
              <w:pStyle w:val="TableParagraph"/>
              <w:rPr>
                <w:sz w:val="26"/>
              </w:rPr>
            </w:pPr>
          </w:p>
          <w:p w:rsidR="00A63634" w:rsidRDefault="00A63634">
            <w:pPr>
              <w:pStyle w:val="TableParagraph"/>
              <w:rPr>
                <w:sz w:val="26"/>
              </w:rPr>
            </w:pPr>
          </w:p>
          <w:p w:rsidR="00A63634" w:rsidRDefault="00A63634">
            <w:pPr>
              <w:pStyle w:val="TableParagraph"/>
              <w:rPr>
                <w:sz w:val="26"/>
              </w:rPr>
            </w:pPr>
          </w:p>
          <w:p w:rsidR="00A63634" w:rsidRDefault="00A63634">
            <w:pPr>
              <w:pStyle w:val="TableParagraph"/>
              <w:rPr>
                <w:sz w:val="26"/>
              </w:rPr>
            </w:pPr>
          </w:p>
          <w:p w:rsidR="00A63634" w:rsidRDefault="00A63634">
            <w:pPr>
              <w:pStyle w:val="TableParagraph"/>
              <w:rPr>
                <w:sz w:val="37"/>
              </w:rPr>
            </w:pPr>
          </w:p>
          <w:p w:rsidR="00A63634" w:rsidRDefault="00555D69">
            <w:pPr>
              <w:pStyle w:val="TableParagraph"/>
              <w:spacing w:before="1"/>
              <w:ind w:left="108" w:right="103"/>
              <w:rPr>
                <w:sz w:val="24"/>
              </w:rPr>
            </w:pPr>
            <w:r>
              <w:rPr>
                <w:sz w:val="24"/>
              </w:rPr>
              <w:t>Sermayenin en az %75’ini oluşturan payların sahiplerinin veya temsilcilerinin olumlu oyları.</w:t>
            </w:r>
          </w:p>
        </w:tc>
      </w:tr>
      <w:tr w:rsidR="00A63634">
        <w:trPr>
          <w:trHeight w:val="1650"/>
        </w:trPr>
        <w:tc>
          <w:tcPr>
            <w:tcW w:w="3019" w:type="dxa"/>
          </w:tcPr>
          <w:p w:rsidR="00A63634" w:rsidRDefault="00A63634">
            <w:pPr>
              <w:pStyle w:val="TableParagraph"/>
              <w:spacing w:before="11"/>
              <w:rPr>
                <w:sz w:val="34"/>
              </w:rPr>
            </w:pPr>
          </w:p>
          <w:p w:rsidR="00A63634" w:rsidRDefault="00555D69">
            <w:pPr>
              <w:pStyle w:val="TableParagraph"/>
              <w:spacing w:line="242" w:lineRule="auto"/>
              <w:ind w:left="107" w:right="262"/>
              <w:rPr>
                <w:b/>
                <w:sz w:val="24"/>
              </w:rPr>
            </w:pPr>
            <w:r>
              <w:rPr>
                <w:sz w:val="24"/>
              </w:rPr>
              <w:t xml:space="preserve">İmtiyazlı pay sahipleri özel kurulu toplantısı kararları </w:t>
            </w:r>
            <w:r>
              <w:rPr>
                <w:b/>
                <w:sz w:val="24"/>
              </w:rPr>
              <w:t>(TTK m. 454/3)</w:t>
            </w:r>
          </w:p>
        </w:tc>
        <w:tc>
          <w:tcPr>
            <w:tcW w:w="3021" w:type="dxa"/>
          </w:tcPr>
          <w:p w:rsidR="00A63634" w:rsidRDefault="00A63634">
            <w:pPr>
              <w:pStyle w:val="TableParagraph"/>
              <w:spacing w:before="11"/>
              <w:rPr>
                <w:sz w:val="34"/>
              </w:rPr>
            </w:pPr>
          </w:p>
          <w:p w:rsidR="00A63634" w:rsidRDefault="00555D69">
            <w:pPr>
              <w:pStyle w:val="TableParagraph"/>
              <w:ind w:left="108" w:right="130"/>
              <w:rPr>
                <w:sz w:val="24"/>
              </w:rPr>
            </w:pPr>
            <w:r>
              <w:rPr>
                <w:sz w:val="24"/>
              </w:rPr>
              <w:t>İmtiyazlı payları temsil eden sermayenin en az %60’ına sahip paylar.</w:t>
            </w:r>
          </w:p>
        </w:tc>
        <w:tc>
          <w:tcPr>
            <w:tcW w:w="3734" w:type="dxa"/>
          </w:tcPr>
          <w:p w:rsidR="00A63634" w:rsidRDefault="00A63634">
            <w:pPr>
              <w:pStyle w:val="TableParagraph"/>
              <w:rPr>
                <w:sz w:val="26"/>
              </w:rPr>
            </w:pPr>
          </w:p>
          <w:p w:rsidR="00A63634" w:rsidRDefault="00A63634">
            <w:pPr>
              <w:pStyle w:val="TableParagraph"/>
              <w:spacing w:before="9"/>
              <w:rPr>
                <w:sz w:val="20"/>
              </w:rPr>
            </w:pPr>
          </w:p>
          <w:p w:rsidR="00A63634" w:rsidRDefault="00555D69">
            <w:pPr>
              <w:pStyle w:val="TableParagraph"/>
              <w:spacing w:before="1"/>
              <w:ind w:left="108" w:right="550"/>
              <w:rPr>
                <w:sz w:val="24"/>
              </w:rPr>
            </w:pPr>
            <w:r>
              <w:rPr>
                <w:sz w:val="24"/>
              </w:rPr>
              <w:t>Toplantıda temsil eden payların çoğunluğunun olumlu oyu.</w:t>
            </w:r>
          </w:p>
        </w:tc>
      </w:tr>
      <w:tr w:rsidR="00A63634">
        <w:trPr>
          <w:trHeight w:val="275"/>
        </w:trPr>
        <w:tc>
          <w:tcPr>
            <w:tcW w:w="9774" w:type="dxa"/>
            <w:gridSpan w:val="3"/>
            <w:tcBorders>
              <w:left w:val="nil"/>
              <w:right w:val="nil"/>
            </w:tcBorders>
          </w:tcPr>
          <w:p w:rsidR="00A63634" w:rsidRDefault="00A63634">
            <w:pPr>
              <w:pStyle w:val="TableParagraph"/>
              <w:rPr>
                <w:sz w:val="20"/>
              </w:rPr>
            </w:pPr>
          </w:p>
        </w:tc>
      </w:tr>
      <w:tr w:rsidR="00A63634">
        <w:trPr>
          <w:trHeight w:val="971"/>
        </w:trPr>
        <w:tc>
          <w:tcPr>
            <w:tcW w:w="3019" w:type="dxa"/>
          </w:tcPr>
          <w:p w:rsidR="00A63634" w:rsidRDefault="00555D69">
            <w:pPr>
              <w:pStyle w:val="TableParagraph"/>
              <w:spacing w:before="203"/>
              <w:ind w:left="134"/>
              <w:rPr>
                <w:b/>
                <w:sz w:val="24"/>
              </w:rPr>
            </w:pPr>
            <w:r>
              <w:rPr>
                <w:b/>
                <w:sz w:val="24"/>
              </w:rPr>
              <w:t>Anonim Şirketlerde</w:t>
            </w:r>
          </w:p>
          <w:p w:rsidR="00A63634" w:rsidRDefault="00555D69">
            <w:pPr>
              <w:pStyle w:val="TableParagraph"/>
              <w:ind w:left="134"/>
              <w:rPr>
                <w:b/>
                <w:sz w:val="24"/>
              </w:rPr>
            </w:pPr>
            <w:r>
              <w:rPr>
                <w:b/>
                <w:sz w:val="24"/>
              </w:rPr>
              <w:t>Yönetim Kurulu Kararları</w:t>
            </w:r>
          </w:p>
        </w:tc>
        <w:tc>
          <w:tcPr>
            <w:tcW w:w="3021" w:type="dxa"/>
          </w:tcPr>
          <w:p w:rsidR="00A63634" w:rsidRDefault="00A63634">
            <w:pPr>
              <w:pStyle w:val="TableParagraph"/>
              <w:spacing w:before="8"/>
              <w:rPr>
                <w:sz w:val="29"/>
              </w:rPr>
            </w:pPr>
          </w:p>
          <w:p w:rsidR="00A63634" w:rsidRDefault="00555D69">
            <w:pPr>
              <w:pStyle w:val="TableParagraph"/>
              <w:ind w:left="712"/>
              <w:rPr>
                <w:b/>
                <w:sz w:val="24"/>
              </w:rPr>
            </w:pPr>
            <w:r>
              <w:rPr>
                <w:b/>
                <w:sz w:val="24"/>
              </w:rPr>
              <w:t>Toplantı Nisabı</w:t>
            </w:r>
          </w:p>
        </w:tc>
        <w:tc>
          <w:tcPr>
            <w:tcW w:w="3734" w:type="dxa"/>
          </w:tcPr>
          <w:p w:rsidR="00A63634" w:rsidRDefault="00A63634">
            <w:pPr>
              <w:pStyle w:val="TableParagraph"/>
              <w:spacing w:before="8"/>
              <w:rPr>
                <w:sz w:val="29"/>
              </w:rPr>
            </w:pPr>
          </w:p>
          <w:p w:rsidR="00A63634" w:rsidRDefault="00555D69">
            <w:pPr>
              <w:pStyle w:val="TableParagraph"/>
              <w:ind w:left="1190"/>
              <w:rPr>
                <w:b/>
                <w:sz w:val="24"/>
              </w:rPr>
            </w:pPr>
            <w:r>
              <w:rPr>
                <w:b/>
                <w:sz w:val="24"/>
              </w:rPr>
              <w:t>Karar Nisabı</w:t>
            </w:r>
          </w:p>
        </w:tc>
      </w:tr>
      <w:tr w:rsidR="00A63634">
        <w:trPr>
          <w:trHeight w:val="983"/>
        </w:trPr>
        <w:tc>
          <w:tcPr>
            <w:tcW w:w="3019" w:type="dxa"/>
          </w:tcPr>
          <w:p w:rsidR="00A63634" w:rsidRDefault="00555D69">
            <w:pPr>
              <w:pStyle w:val="TableParagraph"/>
              <w:spacing w:before="205"/>
              <w:ind w:left="107"/>
              <w:rPr>
                <w:sz w:val="24"/>
              </w:rPr>
            </w:pPr>
            <w:r>
              <w:rPr>
                <w:sz w:val="24"/>
              </w:rPr>
              <w:t>Yönetim kurulu kararları</w:t>
            </w:r>
          </w:p>
          <w:p w:rsidR="00A63634" w:rsidRDefault="00555D69">
            <w:pPr>
              <w:pStyle w:val="TableParagraph"/>
              <w:spacing w:before="5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(TTK m. 390)</w:t>
            </w:r>
          </w:p>
        </w:tc>
        <w:tc>
          <w:tcPr>
            <w:tcW w:w="3021" w:type="dxa"/>
          </w:tcPr>
          <w:p w:rsidR="00A63634" w:rsidRDefault="00555D69">
            <w:pPr>
              <w:pStyle w:val="TableParagraph"/>
              <w:spacing w:before="205"/>
              <w:ind w:left="108" w:right="1149"/>
              <w:rPr>
                <w:sz w:val="24"/>
              </w:rPr>
            </w:pPr>
            <w:r>
              <w:rPr>
                <w:sz w:val="24"/>
              </w:rPr>
              <w:t>Üye tam sayısının çoğunluğu</w:t>
            </w:r>
            <w:hyperlink w:anchor="_bookmark9" w:history="1">
              <w:r>
                <w:rPr>
                  <w:sz w:val="24"/>
                  <w:vertAlign w:val="superscript"/>
                </w:rPr>
                <w:t>*</w:t>
              </w:r>
            </w:hyperlink>
            <w:r>
              <w:rPr>
                <w:sz w:val="24"/>
              </w:rPr>
              <w:t>.</w:t>
            </w:r>
          </w:p>
        </w:tc>
        <w:tc>
          <w:tcPr>
            <w:tcW w:w="3734" w:type="dxa"/>
          </w:tcPr>
          <w:p w:rsidR="00A63634" w:rsidRDefault="00555D69">
            <w:pPr>
              <w:pStyle w:val="TableParagraph"/>
              <w:spacing w:before="205"/>
              <w:ind w:left="108" w:right="337"/>
              <w:rPr>
                <w:sz w:val="24"/>
              </w:rPr>
            </w:pPr>
            <w:r>
              <w:rPr>
                <w:sz w:val="24"/>
              </w:rPr>
              <w:t>Toplantıda hazır bulunan üyelerin çoğunluğu.</w:t>
            </w:r>
          </w:p>
        </w:tc>
      </w:tr>
    </w:tbl>
    <w:p w:rsidR="00A63634" w:rsidRDefault="00A63634">
      <w:pPr>
        <w:pStyle w:val="GvdeMetni"/>
      </w:pPr>
      <w:bookmarkStart w:id="9" w:name="_GoBack"/>
      <w:bookmarkEnd w:id="9"/>
    </w:p>
    <w:p w:rsidR="00A63634" w:rsidRDefault="00555D69">
      <w:pPr>
        <w:pStyle w:val="GvdeMetni"/>
        <w:spacing w:before="9"/>
        <w:rPr>
          <w:sz w:val="28"/>
        </w:rPr>
      </w:pPr>
      <w:r>
        <w:rPr>
          <w:noProof/>
          <w:lang w:eastAsia="tr-TR"/>
        </w:rPr>
        <mc:AlternateContent>
          <mc:Choice Requires="wps">
            <w:drawing>
              <wp:anchor distT="0" distB="0" distL="0" distR="0" simplePos="0" relativeHeight="487589888" behindDoc="1" locked="0" layoutInCell="1" allowOverlap="1">
                <wp:simplePos x="0" y="0"/>
                <wp:positionH relativeFrom="page">
                  <wp:posOffset>519430</wp:posOffset>
                </wp:positionH>
                <wp:positionV relativeFrom="paragraph">
                  <wp:posOffset>234950</wp:posOffset>
                </wp:positionV>
                <wp:extent cx="1828800" cy="8890"/>
                <wp:effectExtent l="0" t="0" r="0" b="0"/>
                <wp:wrapTopAndBottom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40.9pt;margin-top:18.5pt;width:2in;height:.7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" fillcolor="black" stroked="f">
                <w10:wrap type="topAndBottom" anchorx="page"/>
              </v:rect>
            </w:pict>
          </mc:Fallback>
        </mc:AlternateContent>
      </w:r>
    </w:p>
    <w:p w:rsidR="00A63634" w:rsidRDefault="00555D69">
      <w:pPr>
        <w:pStyle w:val="GvdeMetni"/>
        <w:spacing w:before="67"/>
        <w:ind w:left="152"/>
      </w:pPr>
      <w:bookmarkStart w:id="10" w:name="_bookmark9"/>
      <w:bookmarkEnd w:id="10"/>
      <w:r>
        <w:rPr>
          <w:vertAlign w:val="superscript"/>
        </w:rPr>
        <w:t>*</w:t>
      </w:r>
      <w:r>
        <w:t>Esas sözleşmede aksine ağırlaştırıcı bir hüküm bulunmadığı takdirde.</w:t>
      </w:r>
    </w:p>
    <w:sectPr w:rsidR="00A63634">
      <w:pgSz w:w="11910" w:h="16840"/>
      <w:pgMar w:top="1400" w:right="1160" w:bottom="0" w:left="7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rlito">
    <w:altName w:val="Arial"/>
    <w:charset w:val="00"/>
    <w:family w:val="swiss"/>
    <w:pitch w:val="variable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634"/>
    <w:rsid w:val="00555D69"/>
    <w:rsid w:val="00A63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GvdeMetni">
    <w:name w:val="Body Text"/>
    <w:basedOn w:val="Normal"/>
    <w:uiPriority w:val="1"/>
    <w:qFormat/>
    <w:rPr>
      <w:sz w:val="20"/>
      <w:szCs w:val="20"/>
    </w:rPr>
  </w:style>
  <w:style w:type="paragraph" w:styleId="ListeParagraf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GvdeMetni">
    <w:name w:val="Body Text"/>
    <w:basedOn w:val="Normal"/>
    <w:uiPriority w:val="1"/>
    <w:qFormat/>
    <w:rPr>
      <w:sz w:val="20"/>
      <w:szCs w:val="20"/>
    </w:rPr>
  </w:style>
  <w:style w:type="paragraph" w:styleId="ListeParagraf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747</Words>
  <Characters>4263</Characters>
  <Application>Microsoft Office Word</Application>
  <DocSecurity>0</DocSecurity>
  <Lines>35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2023-04-14T08:24:00Z</dcterms:created>
  <dcterms:modified xsi:type="dcterms:W3CDTF">2023-04-14T08:24:00Z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2022-10-28T00:00:00Z</vt:filetime>
  </property>
  <property fmtid="{D5CDD505-2E9C-101B-9397-08002B2CF9AE}" pid="3" name="Creator">
    <vt:lpwstr>Word için Acrobat PDFMaker 11</vt:lpwstr>
  </property>
  <property fmtid="{D5CDD505-2E9C-101B-9397-08002B2CF9AE}" pid="4" name="LastSaved">
    <vt:filetime>2023-04-14T00:00:00Z</vt:filetime>
  </property>
</Properties>
</file>